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48004" w14:textId="2740BB83" w:rsidR="00C15792" w:rsidRPr="00CE1A3F" w:rsidRDefault="00C15792" w:rsidP="004B4A39">
      <w:pPr>
        <w:pStyle w:val="Brdtekst"/>
        <w:widowControl w:val="0"/>
        <w:suppressAutoHyphens/>
        <w:spacing w:line="360" w:lineRule="auto"/>
        <w:ind w:left="1560" w:right="2316"/>
        <w:jc w:val="center"/>
        <w:rPr>
          <w:rFonts w:asciiTheme="minorHAnsi" w:hAnsiTheme="minorHAnsi" w:cstheme="minorHAnsi"/>
          <w:b/>
          <w:sz w:val="36"/>
          <w:szCs w:val="36"/>
        </w:rPr>
      </w:pPr>
    </w:p>
    <w:p w14:paraId="263FF504" w14:textId="77777777" w:rsidR="00C15792" w:rsidRPr="00831CFE"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rPr>
      </w:pPr>
    </w:p>
    <w:p w14:paraId="7EA772F1" w14:textId="77777777" w:rsidR="00C15792" w:rsidRPr="00831CFE"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rPr>
      </w:pPr>
    </w:p>
    <w:p w14:paraId="78F1753E" w14:textId="77777777" w:rsidR="00C15792" w:rsidRPr="00831CFE"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rPr>
      </w:pPr>
    </w:p>
    <w:p w14:paraId="073D3AD1" w14:textId="5A686E25" w:rsidR="0010436E" w:rsidRPr="000238E8" w:rsidRDefault="00DE07BA" w:rsidP="00E67406">
      <w:pPr>
        <w:pStyle w:val="Brdtekst"/>
        <w:widowControl w:val="0"/>
        <w:suppressAutoHyphens/>
        <w:spacing w:line="360" w:lineRule="auto"/>
        <w:ind w:left="1276" w:right="1182"/>
        <w:jc w:val="center"/>
        <w:rPr>
          <w:rFonts w:asciiTheme="minorHAnsi" w:hAnsiTheme="minorHAnsi" w:cstheme="minorHAnsi"/>
          <w:b/>
          <w:color w:val="002060"/>
          <w:sz w:val="36"/>
          <w:szCs w:val="36"/>
        </w:rPr>
      </w:pPr>
      <w:r w:rsidRPr="000238E8">
        <w:rPr>
          <w:rFonts w:asciiTheme="minorHAnsi" w:hAnsiTheme="minorHAnsi" w:cstheme="minorHAnsi"/>
          <w:b/>
          <w:color w:val="002060"/>
          <w:sz w:val="36"/>
          <w:szCs w:val="36"/>
        </w:rPr>
        <w:t xml:space="preserve"> </w:t>
      </w:r>
    </w:p>
    <w:p w14:paraId="0D0E09BA" w14:textId="3B872494" w:rsidR="00EB2384" w:rsidRPr="00B74333" w:rsidRDefault="00EE38F3" w:rsidP="00EB2384">
      <w:pPr>
        <w:pStyle w:val="Brdtekst"/>
        <w:widowControl w:val="0"/>
        <w:suppressAutoHyphens/>
        <w:spacing w:line="360" w:lineRule="auto"/>
        <w:ind w:left="1276" w:right="1182"/>
        <w:jc w:val="center"/>
        <w:rPr>
          <w:rFonts w:asciiTheme="minorHAnsi" w:hAnsiTheme="minorHAnsi" w:cstheme="minorHAnsi"/>
          <w:b/>
          <w:color w:val="002060"/>
          <w:sz w:val="36"/>
          <w:szCs w:val="36"/>
        </w:rPr>
      </w:pPr>
      <w:r w:rsidRPr="00B74333">
        <w:rPr>
          <w:rFonts w:asciiTheme="minorHAnsi" w:hAnsiTheme="minorHAnsi" w:cstheme="minorHAnsi"/>
          <w:b/>
          <w:color w:val="002060"/>
          <w:sz w:val="36"/>
          <w:szCs w:val="36"/>
        </w:rPr>
        <w:t>DESFA’s</w:t>
      </w:r>
      <w:r w:rsidR="00617528" w:rsidRPr="00B74333" w:rsidDel="00E67406">
        <w:rPr>
          <w:rFonts w:asciiTheme="minorHAnsi" w:hAnsiTheme="minorHAnsi" w:cstheme="minorHAnsi"/>
          <w:b/>
          <w:color w:val="002060"/>
          <w:sz w:val="36"/>
          <w:szCs w:val="36"/>
        </w:rPr>
        <w:t xml:space="preserve"> </w:t>
      </w:r>
      <w:r w:rsidR="0010436E" w:rsidRPr="00B74333">
        <w:rPr>
          <w:rFonts w:asciiTheme="minorHAnsi" w:hAnsiTheme="minorHAnsi" w:cstheme="minorHAnsi"/>
          <w:b/>
          <w:color w:val="002060"/>
          <w:sz w:val="36"/>
          <w:szCs w:val="36"/>
        </w:rPr>
        <w:t>Binding Phase</w:t>
      </w:r>
      <w:r w:rsidR="00E67406" w:rsidRPr="00B74333">
        <w:rPr>
          <w:rFonts w:asciiTheme="minorHAnsi" w:hAnsiTheme="minorHAnsi" w:cstheme="minorHAnsi"/>
          <w:b/>
          <w:color w:val="002060"/>
          <w:sz w:val="36"/>
          <w:szCs w:val="36"/>
        </w:rPr>
        <w:t xml:space="preserve"> Notice </w:t>
      </w:r>
    </w:p>
    <w:p w14:paraId="38A9B7B6" w14:textId="77777777" w:rsidR="00EB2384" w:rsidRPr="00B74333" w:rsidRDefault="000866A0" w:rsidP="00EB2384">
      <w:pPr>
        <w:pStyle w:val="Brdtekst"/>
        <w:widowControl w:val="0"/>
        <w:suppressAutoHyphens/>
        <w:spacing w:line="360" w:lineRule="auto"/>
        <w:ind w:left="1276" w:right="1182"/>
        <w:jc w:val="center"/>
        <w:rPr>
          <w:rFonts w:asciiTheme="minorHAnsi" w:hAnsiTheme="minorHAnsi" w:cstheme="minorHAnsi"/>
          <w:b/>
          <w:color w:val="002060"/>
          <w:sz w:val="36"/>
          <w:szCs w:val="36"/>
        </w:rPr>
      </w:pPr>
      <w:r w:rsidRPr="00B74333">
        <w:rPr>
          <w:rFonts w:asciiTheme="minorHAnsi" w:hAnsiTheme="minorHAnsi" w:cstheme="minorHAnsi"/>
          <w:b/>
          <w:color w:val="002060"/>
          <w:sz w:val="36"/>
          <w:szCs w:val="36"/>
        </w:rPr>
        <w:t xml:space="preserve">for the Market Test Process </w:t>
      </w:r>
    </w:p>
    <w:p w14:paraId="0DDEFC75" w14:textId="30D6B9FC" w:rsidR="000866A0" w:rsidRPr="00B74333" w:rsidRDefault="000866A0" w:rsidP="686A7CD0">
      <w:pPr>
        <w:pStyle w:val="Brdtekst"/>
        <w:widowControl w:val="0"/>
        <w:suppressAutoHyphens/>
        <w:spacing w:line="360" w:lineRule="auto"/>
        <w:ind w:left="1276" w:right="1182"/>
        <w:jc w:val="center"/>
        <w:rPr>
          <w:rFonts w:asciiTheme="minorHAnsi" w:hAnsiTheme="minorHAnsi" w:cstheme="minorHAnsi"/>
          <w:b/>
          <w:color w:val="002060"/>
          <w:sz w:val="36"/>
          <w:szCs w:val="36"/>
        </w:rPr>
      </w:pPr>
      <w:r w:rsidRPr="00B74333">
        <w:rPr>
          <w:rFonts w:asciiTheme="minorHAnsi" w:hAnsiTheme="minorHAnsi" w:cstheme="minorHAnsi"/>
          <w:b/>
          <w:color w:val="002060"/>
          <w:sz w:val="36"/>
          <w:szCs w:val="36"/>
        </w:rPr>
        <w:t>for the expansion of the Greek National Natural Gas System</w:t>
      </w:r>
    </w:p>
    <w:p w14:paraId="26682829" w14:textId="621A8DDB" w:rsidR="0079528F" w:rsidRPr="00B74333" w:rsidRDefault="0010436E" w:rsidP="00632D89">
      <w:pPr>
        <w:pStyle w:val="Brdtekst"/>
        <w:widowControl w:val="0"/>
        <w:suppressAutoHyphens/>
        <w:spacing w:line="360" w:lineRule="auto"/>
        <w:ind w:left="1276" w:right="1182"/>
        <w:jc w:val="center"/>
        <w:rPr>
          <w:rFonts w:asciiTheme="minorHAnsi" w:hAnsiTheme="minorHAnsi" w:cstheme="minorHAnsi"/>
          <w:b/>
          <w:color w:val="002060"/>
          <w:sz w:val="36"/>
          <w:szCs w:val="36"/>
        </w:rPr>
      </w:pPr>
      <w:bookmarkStart w:id="0" w:name="_Hlk71632457"/>
      <w:r w:rsidRPr="00B74333">
        <w:rPr>
          <w:rFonts w:asciiTheme="minorHAnsi" w:hAnsiTheme="minorHAnsi" w:cstheme="minorHAnsi"/>
          <w:b/>
          <w:color w:val="002060"/>
          <w:sz w:val="36"/>
          <w:szCs w:val="36"/>
        </w:rPr>
        <w:t xml:space="preserve"> </w:t>
      </w:r>
    </w:p>
    <w:bookmarkEnd w:id="0"/>
    <w:p w14:paraId="04D96804" w14:textId="77777777" w:rsidR="00C44E3E" w:rsidRPr="00B74333" w:rsidRDefault="00C44E3E" w:rsidP="00C42470">
      <w:pPr>
        <w:pStyle w:val="Brdtekst"/>
        <w:widowControl w:val="0"/>
        <w:suppressAutoHyphens/>
        <w:spacing w:after="120"/>
        <w:jc w:val="center"/>
        <w:rPr>
          <w:rFonts w:asciiTheme="minorHAnsi" w:hAnsiTheme="minorHAnsi" w:cstheme="minorHAnsi"/>
          <w:b/>
          <w:color w:val="002060"/>
          <w:sz w:val="32"/>
          <w:szCs w:val="32"/>
        </w:rPr>
      </w:pPr>
    </w:p>
    <w:p w14:paraId="237820FF" w14:textId="4CC8EFF4" w:rsidR="00C42470" w:rsidRPr="00B74333" w:rsidRDefault="005D48A4" w:rsidP="00C42470">
      <w:pPr>
        <w:pStyle w:val="Brdtekst"/>
        <w:widowControl w:val="0"/>
        <w:suppressAutoHyphens/>
        <w:spacing w:after="120"/>
        <w:jc w:val="center"/>
        <w:rPr>
          <w:rFonts w:asciiTheme="minorHAnsi" w:hAnsiTheme="minorHAnsi" w:cstheme="minorHAnsi"/>
          <w:b/>
          <w:color w:val="002060"/>
          <w:sz w:val="32"/>
          <w:szCs w:val="32"/>
        </w:rPr>
      </w:pPr>
      <w:r w:rsidRPr="00B74333">
        <w:rPr>
          <w:rFonts w:asciiTheme="minorHAnsi" w:hAnsiTheme="minorHAnsi" w:cstheme="minorHAnsi"/>
          <w:b/>
          <w:color w:val="002060"/>
          <w:sz w:val="32"/>
          <w:szCs w:val="32"/>
        </w:rPr>
        <w:t xml:space="preserve"> 2 May 2024</w:t>
      </w:r>
    </w:p>
    <w:p w14:paraId="52968B4F" w14:textId="77777777" w:rsidR="00C15792" w:rsidRPr="00B74333" w:rsidRDefault="00C15792" w:rsidP="00C42470">
      <w:pPr>
        <w:pStyle w:val="Brdtekst"/>
        <w:widowControl w:val="0"/>
        <w:suppressAutoHyphens/>
        <w:spacing w:after="120"/>
        <w:jc w:val="center"/>
        <w:rPr>
          <w:rFonts w:asciiTheme="minorHAnsi" w:hAnsiTheme="minorHAnsi" w:cstheme="minorHAnsi"/>
          <w:b/>
          <w:sz w:val="32"/>
          <w:szCs w:val="32"/>
        </w:rPr>
      </w:pPr>
    </w:p>
    <w:p w14:paraId="746B4A23" w14:textId="77777777" w:rsidR="00C15792" w:rsidRPr="00B74333" w:rsidRDefault="00C15792" w:rsidP="00C42470">
      <w:pPr>
        <w:pStyle w:val="Brdtekst"/>
        <w:widowControl w:val="0"/>
        <w:suppressAutoHyphens/>
        <w:spacing w:after="120"/>
        <w:jc w:val="center"/>
        <w:rPr>
          <w:rFonts w:asciiTheme="minorHAnsi" w:hAnsiTheme="minorHAnsi" w:cstheme="minorHAnsi"/>
          <w:b/>
          <w:sz w:val="32"/>
          <w:szCs w:val="32"/>
        </w:rPr>
      </w:pPr>
    </w:p>
    <w:p w14:paraId="530804E5" w14:textId="77777777" w:rsidR="00C15792" w:rsidRPr="00B74333" w:rsidRDefault="00C15792" w:rsidP="00C42470">
      <w:pPr>
        <w:pStyle w:val="Brdtekst"/>
        <w:widowControl w:val="0"/>
        <w:suppressAutoHyphens/>
        <w:spacing w:after="120"/>
        <w:jc w:val="center"/>
        <w:rPr>
          <w:rFonts w:asciiTheme="minorHAnsi" w:hAnsiTheme="minorHAnsi" w:cstheme="minorHAnsi"/>
          <w:b/>
          <w:sz w:val="32"/>
          <w:szCs w:val="32"/>
        </w:rPr>
      </w:pPr>
    </w:p>
    <w:p w14:paraId="75B0997C" w14:textId="77777777" w:rsidR="00560F4D" w:rsidRPr="00B74333" w:rsidRDefault="00560F4D" w:rsidP="00C42470">
      <w:pPr>
        <w:pStyle w:val="Brdtekst"/>
        <w:widowControl w:val="0"/>
        <w:suppressAutoHyphens/>
        <w:spacing w:after="120"/>
        <w:jc w:val="center"/>
        <w:rPr>
          <w:rFonts w:asciiTheme="minorHAnsi" w:hAnsiTheme="minorHAnsi" w:cstheme="minorHAnsi"/>
          <w:b/>
          <w:sz w:val="32"/>
          <w:szCs w:val="32"/>
        </w:rPr>
      </w:pPr>
    </w:p>
    <w:p w14:paraId="12FD1127" w14:textId="77777777" w:rsidR="00560F4D" w:rsidRPr="00B74333" w:rsidRDefault="00560F4D" w:rsidP="00C42470">
      <w:pPr>
        <w:pStyle w:val="Brdtekst"/>
        <w:widowControl w:val="0"/>
        <w:suppressAutoHyphens/>
        <w:spacing w:after="120"/>
        <w:jc w:val="center"/>
        <w:rPr>
          <w:rFonts w:asciiTheme="minorHAnsi" w:hAnsiTheme="minorHAnsi" w:cstheme="minorHAnsi"/>
          <w:b/>
          <w:sz w:val="32"/>
          <w:szCs w:val="32"/>
        </w:rPr>
      </w:pPr>
    </w:p>
    <w:p w14:paraId="1187B640" w14:textId="7B78385E" w:rsidR="00560F4D" w:rsidRPr="00B74333" w:rsidRDefault="00560F4D" w:rsidP="00C42470">
      <w:pPr>
        <w:pStyle w:val="Brdtekst"/>
        <w:widowControl w:val="0"/>
        <w:suppressAutoHyphens/>
        <w:spacing w:after="120"/>
        <w:jc w:val="center"/>
        <w:rPr>
          <w:rFonts w:asciiTheme="minorHAnsi" w:hAnsiTheme="minorHAnsi" w:cstheme="minorHAnsi"/>
          <w:b/>
          <w:sz w:val="32"/>
          <w:szCs w:val="32"/>
        </w:rPr>
      </w:pPr>
    </w:p>
    <w:p w14:paraId="4E176B5A" w14:textId="737E499D" w:rsidR="004937CF" w:rsidRPr="00B74333" w:rsidRDefault="004937CF" w:rsidP="00C42470">
      <w:pPr>
        <w:pStyle w:val="Brdtekst"/>
        <w:widowControl w:val="0"/>
        <w:suppressAutoHyphens/>
        <w:spacing w:after="120"/>
        <w:jc w:val="center"/>
        <w:rPr>
          <w:rFonts w:asciiTheme="minorHAnsi" w:hAnsiTheme="minorHAnsi" w:cstheme="minorHAnsi"/>
          <w:b/>
          <w:sz w:val="32"/>
          <w:szCs w:val="32"/>
        </w:rPr>
      </w:pPr>
    </w:p>
    <w:p w14:paraId="4EDAF7C8" w14:textId="77777777" w:rsidR="004937CF" w:rsidRPr="00B74333" w:rsidRDefault="004937CF" w:rsidP="00C42470">
      <w:pPr>
        <w:pStyle w:val="Brdtekst"/>
        <w:widowControl w:val="0"/>
        <w:suppressAutoHyphens/>
        <w:spacing w:after="120"/>
        <w:jc w:val="center"/>
        <w:rPr>
          <w:rFonts w:asciiTheme="minorHAnsi" w:hAnsiTheme="minorHAnsi" w:cstheme="minorHAnsi"/>
          <w:b/>
          <w:sz w:val="32"/>
          <w:szCs w:val="32"/>
        </w:rPr>
      </w:pPr>
    </w:p>
    <w:p w14:paraId="1E6767C1" w14:textId="77777777" w:rsidR="00560F4D" w:rsidRPr="00B74333" w:rsidRDefault="00560F4D" w:rsidP="00C42470">
      <w:pPr>
        <w:pStyle w:val="Brdtekst"/>
        <w:widowControl w:val="0"/>
        <w:suppressAutoHyphens/>
        <w:spacing w:after="120"/>
        <w:jc w:val="center"/>
        <w:rPr>
          <w:rFonts w:asciiTheme="minorHAnsi" w:hAnsiTheme="minorHAnsi" w:cstheme="minorHAnsi"/>
          <w:b/>
          <w:sz w:val="32"/>
          <w:szCs w:val="32"/>
        </w:rPr>
      </w:pPr>
    </w:p>
    <w:p w14:paraId="00041AED" w14:textId="77777777" w:rsidR="00560F4D" w:rsidRPr="00B74333" w:rsidRDefault="00560F4D" w:rsidP="00C42470">
      <w:pPr>
        <w:pStyle w:val="Brdtekst"/>
        <w:widowControl w:val="0"/>
        <w:suppressAutoHyphens/>
        <w:spacing w:after="120"/>
        <w:jc w:val="center"/>
        <w:rPr>
          <w:rFonts w:asciiTheme="minorHAnsi" w:hAnsiTheme="minorHAnsi" w:cstheme="minorHAnsi"/>
          <w:b/>
          <w:sz w:val="32"/>
          <w:szCs w:val="32"/>
        </w:rPr>
      </w:pPr>
    </w:p>
    <w:p w14:paraId="1671849A" w14:textId="66396312" w:rsidR="00CC7A2F" w:rsidRPr="00B74333" w:rsidRDefault="00CC7A2F" w:rsidP="686A7CD0">
      <w:pPr>
        <w:widowControl w:val="0"/>
        <w:spacing w:after="120"/>
        <w:ind w:right="-518"/>
        <w:jc w:val="center"/>
        <w:rPr>
          <w:rFonts w:cstheme="minorHAnsi"/>
          <w:i/>
        </w:rPr>
      </w:pPr>
    </w:p>
    <w:p w14:paraId="1BF8C29E" w14:textId="77777777" w:rsidR="00CC7A2F" w:rsidRPr="00B74333" w:rsidRDefault="00CC7A2F" w:rsidP="00CC7A2F">
      <w:pPr>
        <w:jc w:val="center"/>
        <w:rPr>
          <w:rFonts w:cstheme="minorHAnsi"/>
          <w:sz w:val="20"/>
          <w:szCs w:val="20"/>
        </w:rPr>
      </w:pPr>
    </w:p>
    <w:p w14:paraId="314EE37E" w14:textId="77777777" w:rsidR="00CC7A2F" w:rsidRPr="00B74333" w:rsidRDefault="00CC7A2F" w:rsidP="00CC7A2F">
      <w:pPr>
        <w:jc w:val="center"/>
        <w:rPr>
          <w:rFonts w:cstheme="minorHAnsi"/>
          <w:sz w:val="20"/>
          <w:szCs w:val="20"/>
        </w:rPr>
      </w:pPr>
    </w:p>
    <w:p w14:paraId="3A7A262D" w14:textId="77777777" w:rsidR="00CC7A2F" w:rsidRPr="00B74333" w:rsidRDefault="00CC7A2F" w:rsidP="00CC7A2F">
      <w:pPr>
        <w:jc w:val="center"/>
        <w:rPr>
          <w:rFonts w:cstheme="minorHAnsi"/>
          <w:sz w:val="20"/>
          <w:szCs w:val="20"/>
        </w:rPr>
      </w:pPr>
    </w:p>
    <w:p w14:paraId="7B17582C" w14:textId="77777777" w:rsidR="00CC7A2F" w:rsidRPr="00B74333" w:rsidRDefault="00CC7A2F" w:rsidP="00CC7A2F">
      <w:pPr>
        <w:jc w:val="center"/>
        <w:rPr>
          <w:rFonts w:cstheme="minorHAnsi"/>
          <w:sz w:val="20"/>
          <w:szCs w:val="20"/>
        </w:rPr>
      </w:pPr>
    </w:p>
    <w:p w14:paraId="499E894B" w14:textId="77777777" w:rsidR="00CC7A2F" w:rsidRPr="00B74333" w:rsidRDefault="00CC7A2F" w:rsidP="00CC7A2F">
      <w:pPr>
        <w:jc w:val="center"/>
        <w:rPr>
          <w:rFonts w:cstheme="minorHAnsi"/>
          <w:sz w:val="20"/>
          <w:szCs w:val="20"/>
        </w:rPr>
      </w:pPr>
    </w:p>
    <w:p w14:paraId="6205DF15" w14:textId="77777777" w:rsidR="00CC7A2F" w:rsidRPr="00B74333" w:rsidRDefault="00CC7A2F" w:rsidP="00CC7A2F">
      <w:pPr>
        <w:jc w:val="center"/>
        <w:rPr>
          <w:rFonts w:cstheme="minorHAnsi"/>
          <w:sz w:val="20"/>
          <w:szCs w:val="20"/>
        </w:rPr>
      </w:pPr>
    </w:p>
    <w:p w14:paraId="164C047E" w14:textId="77777777" w:rsidR="00CC7A2F" w:rsidRPr="00B74333" w:rsidRDefault="00CC7A2F" w:rsidP="00CC7A2F">
      <w:pPr>
        <w:jc w:val="center"/>
        <w:rPr>
          <w:rFonts w:cstheme="minorHAnsi"/>
          <w:sz w:val="20"/>
          <w:szCs w:val="20"/>
        </w:rPr>
      </w:pPr>
    </w:p>
    <w:p w14:paraId="7D5523C5" w14:textId="77777777" w:rsidR="00CC7A2F" w:rsidRPr="00B74333" w:rsidRDefault="00CC7A2F" w:rsidP="00CC7A2F">
      <w:pPr>
        <w:jc w:val="center"/>
        <w:rPr>
          <w:rFonts w:cstheme="minorHAnsi"/>
          <w:sz w:val="20"/>
          <w:szCs w:val="20"/>
        </w:rPr>
      </w:pPr>
    </w:p>
    <w:p w14:paraId="464A4024" w14:textId="77777777" w:rsidR="00CC7A2F" w:rsidRPr="00B74333" w:rsidRDefault="00CC7A2F" w:rsidP="00CC7A2F">
      <w:pPr>
        <w:jc w:val="center"/>
        <w:rPr>
          <w:rFonts w:cstheme="minorHAnsi"/>
          <w:sz w:val="20"/>
          <w:szCs w:val="20"/>
        </w:rPr>
      </w:pPr>
    </w:p>
    <w:p w14:paraId="298B7D6C" w14:textId="77777777" w:rsidR="00CC7A2F" w:rsidRPr="00B74333" w:rsidRDefault="00CC7A2F" w:rsidP="00CC7A2F">
      <w:pPr>
        <w:jc w:val="center"/>
        <w:rPr>
          <w:rFonts w:cstheme="minorHAnsi"/>
          <w:sz w:val="20"/>
          <w:szCs w:val="20"/>
        </w:rPr>
      </w:pPr>
    </w:p>
    <w:p w14:paraId="675751A1" w14:textId="77777777" w:rsidR="00CC7A2F" w:rsidRPr="00B74333" w:rsidRDefault="00CC7A2F" w:rsidP="00CC7A2F">
      <w:pPr>
        <w:jc w:val="center"/>
        <w:rPr>
          <w:rFonts w:cstheme="minorHAnsi"/>
          <w:sz w:val="20"/>
          <w:szCs w:val="20"/>
        </w:rPr>
      </w:pPr>
    </w:p>
    <w:p w14:paraId="1BE36C93" w14:textId="77777777" w:rsidR="00CC7A2F" w:rsidRPr="00B74333" w:rsidRDefault="00CC7A2F" w:rsidP="00CC7A2F">
      <w:pPr>
        <w:jc w:val="center"/>
        <w:rPr>
          <w:rFonts w:cstheme="minorHAnsi"/>
          <w:sz w:val="20"/>
          <w:szCs w:val="20"/>
        </w:rPr>
      </w:pPr>
    </w:p>
    <w:p w14:paraId="7EC90A22" w14:textId="77777777" w:rsidR="00CC7A2F" w:rsidRPr="00B74333" w:rsidRDefault="00CC7A2F" w:rsidP="00CC7A2F">
      <w:pPr>
        <w:jc w:val="center"/>
        <w:rPr>
          <w:rFonts w:cstheme="minorHAnsi"/>
          <w:sz w:val="20"/>
          <w:szCs w:val="20"/>
        </w:rPr>
      </w:pPr>
      <w:r w:rsidRPr="00B74333">
        <w:rPr>
          <w:rFonts w:cstheme="minorHAnsi"/>
          <w:sz w:val="20"/>
          <w:szCs w:val="20"/>
        </w:rPr>
        <w:t>(This page intentionally left blank)</w:t>
      </w:r>
      <w:r w:rsidR="00BA4BBA" w:rsidRPr="00B74333">
        <w:rPr>
          <w:rFonts w:cstheme="minorHAnsi"/>
          <w:sz w:val="20"/>
          <w:szCs w:val="20"/>
        </w:rPr>
        <w:t xml:space="preserve"> </w:t>
      </w:r>
    </w:p>
    <w:p w14:paraId="0196A62D" w14:textId="77777777" w:rsidR="00CC7A2F" w:rsidRPr="00B74333" w:rsidRDefault="00CC7A2F" w:rsidP="00CC7A2F">
      <w:pPr>
        <w:jc w:val="center"/>
        <w:rPr>
          <w:rFonts w:cstheme="minorHAnsi"/>
          <w:sz w:val="20"/>
          <w:szCs w:val="20"/>
        </w:rPr>
      </w:pPr>
    </w:p>
    <w:p w14:paraId="0B71CE83" w14:textId="77777777" w:rsidR="00CC7A2F" w:rsidRPr="00B74333" w:rsidRDefault="00CC7A2F" w:rsidP="00CC7A2F">
      <w:pPr>
        <w:jc w:val="center"/>
        <w:rPr>
          <w:rFonts w:cstheme="minorHAnsi"/>
          <w:sz w:val="20"/>
          <w:szCs w:val="20"/>
        </w:rPr>
      </w:pPr>
    </w:p>
    <w:p w14:paraId="280C39FB" w14:textId="77777777" w:rsidR="00CC7A2F" w:rsidRPr="00B74333" w:rsidRDefault="00CC7A2F" w:rsidP="00CC7A2F">
      <w:pPr>
        <w:jc w:val="center"/>
        <w:rPr>
          <w:rFonts w:cstheme="minorHAnsi"/>
          <w:sz w:val="20"/>
          <w:szCs w:val="20"/>
        </w:rPr>
      </w:pPr>
    </w:p>
    <w:p w14:paraId="78190E9C" w14:textId="77777777" w:rsidR="00C15792" w:rsidRPr="00B74333" w:rsidRDefault="00C15792" w:rsidP="00CC7A2F">
      <w:pPr>
        <w:jc w:val="center"/>
        <w:rPr>
          <w:rFonts w:cstheme="minorHAnsi"/>
          <w:sz w:val="20"/>
          <w:szCs w:val="20"/>
        </w:rPr>
      </w:pPr>
      <w:r w:rsidRPr="00B74333">
        <w:rPr>
          <w:rFonts w:cstheme="minorHAnsi"/>
          <w:sz w:val="20"/>
          <w:szCs w:val="20"/>
        </w:rPr>
        <w:br w:type="page"/>
      </w:r>
    </w:p>
    <w:p w14:paraId="7452769C" w14:textId="38F3BBDF" w:rsidR="00C15792" w:rsidRPr="00B74333" w:rsidRDefault="00EC79A1" w:rsidP="00C42470">
      <w:pPr>
        <w:pStyle w:val="Brdtekst"/>
        <w:widowControl w:val="0"/>
        <w:suppressAutoHyphens/>
        <w:spacing w:after="120"/>
        <w:jc w:val="center"/>
        <w:rPr>
          <w:rFonts w:asciiTheme="minorHAnsi" w:hAnsiTheme="minorHAnsi" w:cstheme="minorHAnsi"/>
          <w:b/>
          <w:sz w:val="32"/>
          <w:szCs w:val="32"/>
        </w:rPr>
      </w:pPr>
      <w:r w:rsidRPr="00B74333">
        <w:rPr>
          <w:rFonts w:asciiTheme="minorHAnsi" w:hAnsiTheme="minorHAnsi" w:cstheme="minorHAnsi"/>
          <w:i/>
          <w:noProof/>
        </w:rPr>
        <w:lastRenderedPageBreak/>
        <w:drawing>
          <wp:anchor distT="0" distB="0" distL="114300" distR="114300" simplePos="0" relativeHeight="251658241" behindDoc="1" locked="0" layoutInCell="1" allowOverlap="1" wp14:anchorId="4C766D38" wp14:editId="5C2CAD95">
            <wp:simplePos x="0" y="0"/>
            <wp:positionH relativeFrom="column">
              <wp:posOffset>2912745</wp:posOffset>
            </wp:positionH>
            <wp:positionV relativeFrom="paragraph">
              <wp:posOffset>282575</wp:posOffset>
            </wp:positionV>
            <wp:extent cx="969010" cy="286385"/>
            <wp:effectExtent l="0" t="0" r="2540" b="0"/>
            <wp:wrapTight wrapText="bothSides">
              <wp:wrapPolygon edited="0">
                <wp:start x="0" y="0"/>
                <wp:lineTo x="0" y="20115"/>
                <wp:lineTo x="21232" y="20115"/>
                <wp:lineTo x="21232"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31291" b="31466"/>
                    <a:stretch/>
                  </pic:blipFill>
                  <pic:spPr bwMode="auto">
                    <a:xfrm>
                      <a:off x="0" y="0"/>
                      <a:ext cx="969010" cy="286385"/>
                    </a:xfrm>
                    <a:prstGeom prst="rect">
                      <a:avLst/>
                    </a:prstGeom>
                    <a:ln>
                      <a:noFill/>
                    </a:ln>
                    <a:extLst>
                      <a:ext uri="{53640926-AAD7-44D8-BBD7-CCE9431645EC}">
                        <a14:shadowObscured xmlns:a14="http://schemas.microsoft.com/office/drawing/2010/main"/>
                      </a:ext>
                    </a:extLst>
                  </pic:spPr>
                </pic:pic>
              </a:graphicData>
            </a:graphic>
          </wp:anchor>
        </w:drawing>
      </w:r>
    </w:p>
    <w:p w14:paraId="1A9D318A" w14:textId="1F37C0FF" w:rsidR="00632D89" w:rsidRPr="00B74333" w:rsidRDefault="00632D89" w:rsidP="00D916CC">
      <w:pPr>
        <w:widowControl w:val="0"/>
        <w:suppressAutoHyphens/>
        <w:spacing w:after="120"/>
        <w:ind w:left="284"/>
        <w:rPr>
          <w:rFonts w:cstheme="minorHAnsi"/>
          <w:u w:color="000000"/>
        </w:rPr>
      </w:pPr>
      <w:r w:rsidRPr="00B74333">
        <w:rPr>
          <w:rFonts w:cstheme="minorHAnsi"/>
        </w:rPr>
        <w:t>This document is elaborated and published by</w:t>
      </w:r>
      <w:r w:rsidRPr="00B74333">
        <w:rPr>
          <w:rFonts w:cstheme="minorHAnsi"/>
          <w:u w:color="000000"/>
        </w:rPr>
        <w:t xml:space="preserve"> </w:t>
      </w:r>
    </w:p>
    <w:p w14:paraId="1B824025" w14:textId="77777777" w:rsidR="00632D89" w:rsidRPr="00B74333" w:rsidRDefault="00632D89" w:rsidP="00D916CC">
      <w:pPr>
        <w:widowControl w:val="0"/>
        <w:suppressAutoHyphens/>
        <w:spacing w:after="120"/>
        <w:ind w:left="284"/>
        <w:rPr>
          <w:rFonts w:cstheme="minorHAnsi"/>
          <w:u w:color="000000"/>
        </w:rPr>
      </w:pPr>
      <w:r w:rsidRPr="00B74333">
        <w:rPr>
          <w:rFonts w:cstheme="minorHAnsi"/>
          <w:u w:color="000000"/>
        </w:rPr>
        <w:t xml:space="preserve">357-359 </w:t>
      </w:r>
      <w:proofErr w:type="spellStart"/>
      <w:r w:rsidRPr="00B74333">
        <w:rPr>
          <w:rFonts w:cstheme="minorHAnsi"/>
          <w:u w:color="000000"/>
        </w:rPr>
        <w:t>Messogion</w:t>
      </w:r>
      <w:proofErr w:type="spellEnd"/>
      <w:r w:rsidRPr="00B74333">
        <w:rPr>
          <w:rFonts w:cstheme="minorHAnsi"/>
          <w:u w:color="000000"/>
        </w:rPr>
        <w:t xml:space="preserve"> Ave,</w:t>
      </w:r>
      <w:r w:rsidR="00AE3D31" w:rsidRPr="00B74333">
        <w:rPr>
          <w:rFonts w:cstheme="minorHAnsi"/>
          <w:u w:color="000000"/>
        </w:rPr>
        <w:t xml:space="preserve"> </w:t>
      </w:r>
      <w:r w:rsidR="008A179F" w:rsidRPr="00B74333">
        <w:rPr>
          <w:rFonts w:cstheme="minorHAnsi"/>
          <w:u w:color="000000"/>
        </w:rPr>
        <w:t xml:space="preserve">P.O. 15231, </w:t>
      </w:r>
      <w:r w:rsidRPr="00B74333">
        <w:rPr>
          <w:rFonts w:cstheme="minorHAnsi"/>
          <w:u w:color="000000"/>
        </w:rPr>
        <w:t>Athens, Greece</w:t>
      </w:r>
    </w:p>
    <w:p w14:paraId="6EE38A14" w14:textId="77777777" w:rsidR="00632D89" w:rsidRPr="00B74333" w:rsidRDefault="00632D89" w:rsidP="00D916CC">
      <w:pPr>
        <w:widowControl w:val="0"/>
        <w:suppressAutoHyphens/>
        <w:spacing w:after="120"/>
        <w:ind w:left="284"/>
        <w:rPr>
          <w:rFonts w:eastAsia="Calibri" w:cstheme="minorHAnsi"/>
          <w:u w:color="000000"/>
          <w:lang w:val="fr-FR"/>
        </w:rPr>
      </w:pPr>
      <w:r w:rsidRPr="00B74333">
        <w:rPr>
          <w:rFonts w:eastAsia="Calibri" w:cstheme="minorHAnsi"/>
          <w:u w:color="000000"/>
          <w:lang w:val="fr-FR"/>
        </w:rPr>
        <w:t>T</w:t>
      </w:r>
      <w:r w:rsidR="00D12553" w:rsidRPr="00B74333">
        <w:rPr>
          <w:rFonts w:eastAsia="Calibri" w:cstheme="minorHAnsi"/>
          <w:u w:color="000000"/>
          <w:lang w:val="fr-FR"/>
        </w:rPr>
        <w:t xml:space="preserve"> </w:t>
      </w:r>
      <w:r w:rsidRPr="00B74333">
        <w:rPr>
          <w:rFonts w:eastAsia="Calibri" w:cstheme="minorHAnsi"/>
          <w:u w:color="000000"/>
          <w:lang w:val="fr-FR"/>
        </w:rPr>
        <w:t>: +30</w:t>
      </w:r>
      <w:r w:rsidR="008A179F" w:rsidRPr="00B74333">
        <w:rPr>
          <w:rFonts w:eastAsia="Calibri" w:cstheme="minorHAnsi"/>
          <w:u w:color="000000"/>
          <w:lang w:val="fr-FR"/>
        </w:rPr>
        <w:t xml:space="preserve"> </w:t>
      </w:r>
      <w:r w:rsidRPr="00B74333">
        <w:rPr>
          <w:rFonts w:eastAsia="Calibri" w:cstheme="minorHAnsi"/>
          <w:u w:color="000000"/>
          <w:lang w:val="fr-FR"/>
        </w:rPr>
        <w:t>213</w:t>
      </w:r>
      <w:r w:rsidR="008A179F" w:rsidRPr="00B74333">
        <w:rPr>
          <w:rFonts w:eastAsia="Calibri" w:cstheme="minorHAnsi"/>
          <w:u w:color="000000"/>
          <w:lang w:val="fr-FR"/>
        </w:rPr>
        <w:t xml:space="preserve"> </w:t>
      </w:r>
      <w:r w:rsidRPr="00B74333">
        <w:rPr>
          <w:rFonts w:eastAsia="Calibri" w:cstheme="minorHAnsi"/>
          <w:u w:color="000000"/>
          <w:lang w:val="fr-FR"/>
        </w:rPr>
        <w:t>088</w:t>
      </w:r>
      <w:r w:rsidR="008A179F" w:rsidRPr="00B74333">
        <w:rPr>
          <w:rFonts w:eastAsia="Calibri" w:cstheme="minorHAnsi"/>
          <w:u w:color="000000"/>
          <w:lang w:val="fr-FR"/>
        </w:rPr>
        <w:t xml:space="preserve"> </w:t>
      </w:r>
      <w:r w:rsidRPr="00B74333">
        <w:rPr>
          <w:rFonts w:eastAsia="Calibri" w:cstheme="minorHAnsi"/>
          <w:u w:color="000000"/>
          <w:lang w:val="fr-FR"/>
        </w:rPr>
        <w:t>4000</w:t>
      </w:r>
    </w:p>
    <w:p w14:paraId="5277542B" w14:textId="4CD630A9" w:rsidR="00632D89" w:rsidRPr="00B74333" w:rsidRDefault="00632D89" w:rsidP="00D916CC">
      <w:pPr>
        <w:widowControl w:val="0"/>
        <w:suppressAutoHyphens/>
        <w:spacing w:after="120" w:line="276" w:lineRule="auto"/>
        <w:ind w:left="284"/>
        <w:rPr>
          <w:rFonts w:eastAsia="Calibri" w:cstheme="minorHAnsi"/>
          <w:u w:color="000000"/>
          <w:lang w:val="it-IT"/>
        </w:rPr>
      </w:pPr>
      <w:r w:rsidRPr="00B74333">
        <w:rPr>
          <w:rFonts w:eastAsia="Calibri" w:cstheme="minorHAnsi"/>
          <w:u w:color="000000"/>
          <w:lang w:val="it-IT"/>
        </w:rPr>
        <w:t>E</w:t>
      </w:r>
      <w:r w:rsidR="00D12553" w:rsidRPr="00B74333">
        <w:rPr>
          <w:rFonts w:eastAsia="Calibri" w:cstheme="minorHAnsi"/>
          <w:u w:color="000000"/>
          <w:lang w:val="it-IT"/>
        </w:rPr>
        <w:t xml:space="preserve"> </w:t>
      </w:r>
      <w:r w:rsidRPr="00B74333">
        <w:rPr>
          <w:rFonts w:eastAsia="Calibri" w:cstheme="minorHAnsi"/>
          <w:u w:color="000000"/>
          <w:lang w:val="it-IT"/>
        </w:rPr>
        <w:t>:</w:t>
      </w:r>
      <w:r w:rsidR="00AE3D31" w:rsidRPr="00B74333">
        <w:rPr>
          <w:rFonts w:eastAsia="Calibri" w:cstheme="minorHAnsi"/>
          <w:u w:color="000000"/>
          <w:lang w:val="it-IT"/>
        </w:rPr>
        <w:t xml:space="preserve"> </w:t>
      </w:r>
      <w:hyperlink r:id="rId12" w:history="1">
        <w:r w:rsidR="00197004" w:rsidRPr="00B74333">
          <w:rPr>
            <w:rStyle w:val="Hyperlink"/>
            <w:rFonts w:eastAsia="Calibri" w:cstheme="minorHAnsi"/>
            <w:u w:color="000000"/>
            <w:lang w:val="it-IT"/>
          </w:rPr>
          <w:t xml:space="preserve"> </w:t>
        </w:r>
      </w:hyperlink>
      <w:hyperlink r:id="rId13" w:history="1">
        <w:r w:rsidR="00197004" w:rsidRPr="00B74333">
          <w:rPr>
            <w:rStyle w:val="Hyperlink"/>
            <w:rFonts w:cstheme="minorHAnsi"/>
            <w:lang w:val="it-IT"/>
          </w:rPr>
          <w:t>market-test@desfa.gr</w:t>
        </w:r>
      </w:hyperlink>
    </w:p>
    <w:p w14:paraId="46E4DC46" w14:textId="697FC9FB" w:rsidR="00632D89" w:rsidRPr="00B74333" w:rsidRDefault="00D12553" w:rsidP="00D916CC">
      <w:pPr>
        <w:widowControl w:val="0"/>
        <w:suppressAutoHyphens/>
        <w:spacing w:after="120"/>
        <w:ind w:left="284" w:right="-660"/>
        <w:rPr>
          <w:rFonts w:cstheme="minorHAnsi"/>
          <w:lang w:val="it-IT"/>
        </w:rPr>
      </w:pPr>
      <w:r w:rsidRPr="00B74333">
        <w:rPr>
          <w:rFonts w:cstheme="minorHAnsi"/>
          <w:lang w:val="it-IT"/>
        </w:rPr>
        <w:t>W:</w:t>
      </w:r>
      <w:r w:rsidR="00632D89" w:rsidRPr="00B74333">
        <w:rPr>
          <w:rFonts w:cstheme="minorHAnsi"/>
          <w:lang w:val="it-IT"/>
        </w:rPr>
        <w:t xml:space="preserve"> </w:t>
      </w:r>
      <w:r w:rsidR="00000000" w:rsidRPr="00B74333">
        <w:fldChar w:fldCharType="begin"/>
      </w:r>
      <w:r w:rsidR="00000000" w:rsidRPr="00B74333">
        <w:rPr>
          <w:lang w:val="it-IT"/>
        </w:rPr>
        <w:instrText>HYPERLINK "http://www.desfa.gr"</w:instrText>
      </w:r>
      <w:r w:rsidR="00000000" w:rsidRPr="00B74333">
        <w:fldChar w:fldCharType="separate"/>
      </w:r>
      <w:r w:rsidR="00632D89" w:rsidRPr="00B74333">
        <w:rPr>
          <w:rStyle w:val="Hyperlink"/>
          <w:rFonts w:cstheme="minorHAnsi"/>
          <w:lang w:val="it-IT"/>
        </w:rPr>
        <w:t>www.desfa.gr</w:t>
      </w:r>
      <w:r w:rsidR="00000000" w:rsidRPr="00B74333">
        <w:rPr>
          <w:rStyle w:val="Hyperlink"/>
          <w:rFonts w:cstheme="minorHAnsi"/>
        </w:rPr>
        <w:fldChar w:fldCharType="end"/>
      </w:r>
    </w:p>
    <w:p w14:paraId="54E33D6C" w14:textId="77777777" w:rsidR="00632D89" w:rsidRPr="00B74333" w:rsidRDefault="00632D89" w:rsidP="00D916CC">
      <w:pPr>
        <w:widowControl w:val="0"/>
        <w:suppressAutoHyphens/>
        <w:spacing w:after="120"/>
        <w:ind w:left="284" w:right="-660"/>
        <w:rPr>
          <w:rFonts w:cstheme="minorHAnsi"/>
          <w:lang w:val="it-IT"/>
        </w:rPr>
      </w:pPr>
    </w:p>
    <w:p w14:paraId="2CB849D4" w14:textId="77777777" w:rsidR="00632D89" w:rsidRPr="00B74333" w:rsidRDefault="00632D89" w:rsidP="00D916CC">
      <w:pPr>
        <w:ind w:left="284"/>
        <w:rPr>
          <w:rFonts w:cstheme="minorHAnsi"/>
          <w:b/>
          <w:lang w:val="it-IT"/>
        </w:rPr>
      </w:pPr>
    </w:p>
    <w:p w14:paraId="34F50B94" w14:textId="77777777" w:rsidR="00632D89" w:rsidRPr="00B74333" w:rsidRDefault="00632D89" w:rsidP="00632D89">
      <w:pPr>
        <w:rPr>
          <w:rFonts w:cstheme="minorHAnsi"/>
          <w:b/>
          <w:lang w:val="it-IT"/>
        </w:rPr>
      </w:pPr>
    </w:p>
    <w:p w14:paraId="37CA0422" w14:textId="77777777" w:rsidR="000604B3" w:rsidRPr="00B74333" w:rsidRDefault="000604B3" w:rsidP="00632D89">
      <w:pPr>
        <w:rPr>
          <w:rFonts w:cstheme="minorHAnsi"/>
          <w:b/>
          <w:lang w:val="it-IT"/>
        </w:rPr>
      </w:pPr>
    </w:p>
    <w:p w14:paraId="5C0D5E3F" w14:textId="77777777" w:rsidR="000604B3" w:rsidRPr="00B74333" w:rsidRDefault="000604B3" w:rsidP="00632D89">
      <w:pPr>
        <w:rPr>
          <w:rFonts w:cstheme="minorHAnsi"/>
          <w:b/>
          <w:lang w:val="it-IT"/>
        </w:rPr>
      </w:pPr>
    </w:p>
    <w:p w14:paraId="07E5852F" w14:textId="77777777" w:rsidR="00691DF1" w:rsidRPr="00B74333" w:rsidRDefault="00691DF1" w:rsidP="00632D89">
      <w:pPr>
        <w:rPr>
          <w:rFonts w:cstheme="minorHAnsi"/>
          <w:b/>
          <w:lang w:val="it-IT"/>
        </w:rPr>
      </w:pPr>
    </w:p>
    <w:p w14:paraId="0B331DF1" w14:textId="77777777" w:rsidR="00691DF1" w:rsidRPr="00B74333" w:rsidRDefault="00A9480C" w:rsidP="00632D89">
      <w:pPr>
        <w:rPr>
          <w:rFonts w:cstheme="minorHAnsi"/>
          <w:b/>
          <w:lang w:val="it-IT"/>
        </w:rPr>
      </w:pPr>
      <w:r w:rsidRPr="00B74333">
        <w:rPr>
          <w:rFonts w:cstheme="minorHAnsi"/>
          <w:b/>
          <w:noProof/>
        </w:rPr>
        <mc:AlternateContent>
          <mc:Choice Requires="wps">
            <w:drawing>
              <wp:anchor distT="0" distB="0" distL="114300" distR="114300" simplePos="0" relativeHeight="251658240" behindDoc="0" locked="0" layoutInCell="1" allowOverlap="1" wp14:anchorId="12258FCC" wp14:editId="27F68835">
                <wp:simplePos x="0" y="0"/>
                <wp:positionH relativeFrom="column">
                  <wp:posOffset>86995</wp:posOffset>
                </wp:positionH>
                <wp:positionV relativeFrom="paragraph">
                  <wp:posOffset>172720</wp:posOffset>
                </wp:positionV>
                <wp:extent cx="5343525" cy="1571625"/>
                <wp:effectExtent l="19050" t="19050" r="28575" b="28575"/>
                <wp:wrapNone/>
                <wp:docPr id="12" name="Text Box 12"/>
                <wp:cNvGraphicFramePr/>
                <a:graphic xmlns:a="http://schemas.openxmlformats.org/drawingml/2006/main">
                  <a:graphicData uri="http://schemas.microsoft.com/office/word/2010/wordprocessingShape">
                    <wps:wsp>
                      <wps:cNvSpPr txBox="1"/>
                      <wps:spPr>
                        <a:xfrm>
                          <a:off x="0" y="0"/>
                          <a:ext cx="5343525" cy="1571625"/>
                        </a:xfrm>
                        <a:prstGeom prst="rect">
                          <a:avLst/>
                        </a:prstGeom>
                        <a:solidFill>
                          <a:schemeClr val="lt1"/>
                        </a:solidFill>
                        <a:ln w="34925" cmpd="thickThin">
                          <a:solidFill>
                            <a:srgbClr val="FF0000"/>
                          </a:solidFill>
                          <a:extLst>
                            <a:ext uri="{C807C97D-BFC1-408E-A445-0C87EB9F89A2}">
                              <ask:lineSketchStyleProps xmlns:ask="http://schemas.microsoft.com/office/drawing/2018/sketchyshapes">
                                <ask:type>
                                  <ask:lineSketchNone/>
                                </ask:type>
                              </ask:lineSketchStyleProps>
                            </a:ext>
                          </a:extLst>
                        </a:ln>
                      </wps:spPr>
                      <wps:txbx>
                        <w:txbxContent>
                          <w:p w14:paraId="1455FF45" w14:textId="77777777" w:rsidR="00413C78" w:rsidRPr="00A9480C" w:rsidRDefault="00413C78" w:rsidP="00AB752B">
                            <w:pPr>
                              <w:jc w:val="both"/>
                              <w:rPr>
                                <w:b/>
                              </w:rPr>
                            </w:pPr>
                            <w:r w:rsidRPr="00A9480C">
                              <w:rPr>
                                <w:b/>
                              </w:rPr>
                              <w:t>Disclaimer</w:t>
                            </w:r>
                          </w:p>
                          <w:p w14:paraId="422EA96C" w14:textId="77777777" w:rsidR="00413C78" w:rsidRDefault="00413C78" w:rsidP="00AB752B">
                            <w:pPr>
                              <w:jc w:val="both"/>
                            </w:pPr>
                            <w:r>
                              <w:t>DESFA has acted in good faith to ensure that the information in this document is correct, however no representation or warranty is made as to the accuracy or completeness of such information and DESFA will not accept any liability, of any kind, for any inaccuracies or incompleteness in such information. Furthermore, DESFA shall have no obligation to update the document for any changes arising after the date of issue. Nonetheless, if new or revised information is provided, DESFA shall have no liability to any third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58FCC" id="_x0000_t202" coordsize="21600,21600" o:spt="202" path="m,l,21600r21600,l21600,xe">
                <v:stroke joinstyle="miter"/>
                <v:path gradientshapeok="t" o:connecttype="rect"/>
              </v:shapetype>
              <v:shape id="Text Box 12" o:spid="_x0000_s1026" type="#_x0000_t202" style="position:absolute;margin-left:6.85pt;margin-top:13.6pt;width:420.7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" fillcolor="white [3201]" strokecolor="red" strokeweight="2.75pt">
                <v:stroke linestyle="thickThin"/>
                <v:textbox>
                  <w:txbxContent>
                    <w:p w14:paraId="1455FF45" w14:textId="77777777" w:rsidR="00413C78" w:rsidRPr="00A9480C" w:rsidRDefault="00413C78" w:rsidP="00AB752B">
                      <w:pPr>
                        <w:jc w:val="both"/>
                        <w:rPr>
                          <w:b/>
                        </w:rPr>
                      </w:pPr>
                      <w:r w:rsidRPr="00A9480C">
                        <w:rPr>
                          <w:b/>
                        </w:rPr>
                        <w:t>Disclaimer</w:t>
                      </w:r>
                    </w:p>
                    <w:p w14:paraId="422EA96C" w14:textId="77777777" w:rsidR="00413C78" w:rsidRDefault="00413C78" w:rsidP="00AB752B">
                      <w:pPr>
                        <w:jc w:val="both"/>
                      </w:pPr>
                      <w:r>
                        <w:t>DESFA has acted in good faith to ensure that the information in this document is correct, however no representation or warranty is made as to the accuracy or completeness of such information and DESFA will not accept any liability, of any kind, for any inaccuracies or incompleteness in such information. Furthermore, DESFA shall have no obligation to update the document for any changes arising after the date of issue. Nonetheless, if new or revised information is provided, DESFA shall have no liability to any third party.</w:t>
                      </w:r>
                    </w:p>
                  </w:txbxContent>
                </v:textbox>
              </v:shape>
            </w:pict>
          </mc:Fallback>
        </mc:AlternateContent>
      </w:r>
    </w:p>
    <w:p w14:paraId="43104D10" w14:textId="77777777" w:rsidR="00691DF1" w:rsidRPr="00B74333" w:rsidRDefault="00691DF1" w:rsidP="00632D89">
      <w:pPr>
        <w:rPr>
          <w:rFonts w:cstheme="minorHAnsi"/>
          <w:b/>
          <w:lang w:val="it-IT"/>
        </w:rPr>
      </w:pPr>
    </w:p>
    <w:p w14:paraId="63694696" w14:textId="77777777" w:rsidR="00691DF1" w:rsidRPr="00B74333" w:rsidRDefault="00691DF1" w:rsidP="00632D89">
      <w:pPr>
        <w:rPr>
          <w:rFonts w:cstheme="minorHAnsi"/>
          <w:b/>
          <w:lang w:val="it-IT"/>
        </w:rPr>
      </w:pPr>
    </w:p>
    <w:p w14:paraId="58C5D849" w14:textId="77777777" w:rsidR="00691DF1" w:rsidRPr="00B74333" w:rsidRDefault="00691DF1" w:rsidP="00632D89">
      <w:pPr>
        <w:rPr>
          <w:rFonts w:cstheme="minorHAnsi"/>
          <w:b/>
          <w:lang w:val="it-IT"/>
        </w:rPr>
      </w:pPr>
    </w:p>
    <w:p w14:paraId="390742A9" w14:textId="77777777" w:rsidR="00691DF1" w:rsidRPr="00B74333" w:rsidRDefault="00691DF1">
      <w:pPr>
        <w:rPr>
          <w:rFonts w:cstheme="minorHAnsi"/>
          <w:lang w:val="it-IT"/>
        </w:rPr>
      </w:pPr>
      <w:r w:rsidRPr="00B74333">
        <w:rPr>
          <w:rFonts w:cstheme="minorHAnsi"/>
          <w:lang w:val="it-IT"/>
        </w:rPr>
        <w:br w:type="page"/>
      </w:r>
    </w:p>
    <w:p w14:paraId="66951493" w14:textId="77777777" w:rsidR="00563148" w:rsidRPr="00B74333" w:rsidRDefault="00563148" w:rsidP="00563148">
      <w:pPr>
        <w:pStyle w:val="Headlinereport2"/>
        <w:widowControl w:val="0"/>
        <w:suppressAutoHyphens/>
        <w:spacing w:after="120" w:line="264" w:lineRule="auto"/>
        <w:ind w:right="-801"/>
        <w:rPr>
          <w:rFonts w:asciiTheme="minorHAnsi" w:hAnsiTheme="minorHAnsi" w:cstheme="minorHAnsi"/>
          <w:sz w:val="22"/>
        </w:rPr>
      </w:pPr>
      <w:r w:rsidRPr="00B74333">
        <w:rPr>
          <w:rFonts w:asciiTheme="minorHAnsi" w:hAnsiTheme="minorHAnsi" w:cstheme="minorHAnsi"/>
          <w:sz w:val="22"/>
        </w:rPr>
        <w:lastRenderedPageBreak/>
        <w:t>Table of contents</w:t>
      </w:r>
    </w:p>
    <w:p w14:paraId="6023CC66" w14:textId="1F201028" w:rsidR="005D32B4" w:rsidRPr="00B74333" w:rsidRDefault="00563148">
      <w:pPr>
        <w:pStyle w:val="TOC1"/>
        <w:rPr>
          <w:rFonts w:asciiTheme="minorHAnsi" w:hAnsiTheme="minorHAnsi" w:cstheme="minorBidi"/>
          <w:noProof/>
          <w:kern w:val="2"/>
          <w:lang w:val="en-US" w:eastAsia="en-US"/>
          <w14:ligatures w14:val="standardContextual"/>
        </w:rPr>
      </w:pPr>
      <w:r w:rsidRPr="00B74333">
        <w:rPr>
          <w:sz w:val="22"/>
        </w:rPr>
        <w:fldChar w:fldCharType="begin"/>
      </w:r>
      <w:r w:rsidRPr="00B74333">
        <w:rPr>
          <w:sz w:val="22"/>
          <w:szCs w:val="22"/>
        </w:rPr>
        <w:instrText xml:space="preserve"> TOC \o "1-3" \h \z \u </w:instrText>
      </w:r>
      <w:r w:rsidRPr="00B74333">
        <w:rPr>
          <w:sz w:val="22"/>
        </w:rPr>
        <w:fldChar w:fldCharType="separate"/>
      </w:r>
      <w:hyperlink w:anchor="_Toc165465554" w:history="1">
        <w:r w:rsidR="005D32B4" w:rsidRPr="00B74333">
          <w:rPr>
            <w:rStyle w:val="Hyperlink"/>
            <w:noProof/>
          </w:rPr>
          <w:t>Article 1 - Definitions, interpretation and references</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_Toc165465554 \h </w:instrText>
        </w:r>
        <w:r w:rsidR="005D32B4" w:rsidRPr="00B74333">
          <w:rPr>
            <w:noProof/>
            <w:webHidden/>
          </w:rPr>
        </w:r>
        <w:r w:rsidR="005D32B4" w:rsidRPr="00B74333">
          <w:rPr>
            <w:noProof/>
            <w:webHidden/>
          </w:rPr>
          <w:fldChar w:fldCharType="separate"/>
        </w:r>
        <w:r w:rsidR="005D32B4" w:rsidRPr="00B74333">
          <w:rPr>
            <w:noProof/>
            <w:webHidden/>
          </w:rPr>
          <w:t>7</w:t>
        </w:r>
        <w:r w:rsidR="005D32B4" w:rsidRPr="00B74333">
          <w:rPr>
            <w:noProof/>
            <w:webHidden/>
          </w:rPr>
          <w:fldChar w:fldCharType="end"/>
        </w:r>
      </w:hyperlink>
    </w:p>
    <w:p w14:paraId="58655FF0" w14:textId="689D910C" w:rsidR="005D32B4" w:rsidRPr="00B74333" w:rsidRDefault="00000000">
      <w:pPr>
        <w:pStyle w:val="TOC1"/>
        <w:rPr>
          <w:rFonts w:asciiTheme="minorHAnsi" w:hAnsiTheme="minorHAnsi" w:cstheme="minorBidi"/>
          <w:noProof/>
          <w:kern w:val="2"/>
          <w:lang w:val="en-US" w:eastAsia="en-US"/>
          <w14:ligatures w14:val="standardContextual"/>
        </w:rPr>
      </w:pPr>
      <w:hyperlink w:anchor="_Toc165465555" w:history="1">
        <w:r w:rsidR="005D32B4" w:rsidRPr="00B74333">
          <w:rPr>
            <w:rStyle w:val="Hyperlink"/>
            <w:noProof/>
          </w:rPr>
          <w:t>Article 2 - Description of the incremental capacity project and cost estimation</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_Toc165465555 \h </w:instrText>
        </w:r>
        <w:r w:rsidR="005D32B4" w:rsidRPr="00B74333">
          <w:rPr>
            <w:noProof/>
            <w:webHidden/>
          </w:rPr>
        </w:r>
        <w:r w:rsidR="005D32B4" w:rsidRPr="00B74333">
          <w:rPr>
            <w:noProof/>
            <w:webHidden/>
          </w:rPr>
          <w:fldChar w:fldCharType="separate"/>
        </w:r>
        <w:r w:rsidR="005D32B4" w:rsidRPr="00B74333">
          <w:rPr>
            <w:noProof/>
            <w:webHidden/>
          </w:rPr>
          <w:t>9</w:t>
        </w:r>
        <w:r w:rsidR="005D32B4" w:rsidRPr="00B74333">
          <w:rPr>
            <w:noProof/>
            <w:webHidden/>
          </w:rPr>
          <w:fldChar w:fldCharType="end"/>
        </w:r>
      </w:hyperlink>
    </w:p>
    <w:p w14:paraId="441E4FD5" w14:textId="477F2AEF" w:rsidR="005D32B4" w:rsidRPr="00B74333" w:rsidRDefault="00000000">
      <w:pPr>
        <w:pStyle w:val="TOC1"/>
        <w:rPr>
          <w:rFonts w:asciiTheme="minorHAnsi" w:hAnsiTheme="minorHAnsi" w:cstheme="minorBidi"/>
          <w:noProof/>
          <w:kern w:val="2"/>
          <w:lang w:val="en-US" w:eastAsia="en-US"/>
          <w14:ligatures w14:val="standardContextual"/>
        </w:rPr>
      </w:pPr>
      <w:hyperlink w:anchor="_Toc165465556" w:history="1">
        <w:r w:rsidR="005D32B4" w:rsidRPr="00B74333">
          <w:rPr>
            <w:rStyle w:val="Hyperlink"/>
            <w:noProof/>
          </w:rPr>
          <w:t>Article 3 - Incremental Capacity Offer Levels</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_Toc165465556 \h </w:instrText>
        </w:r>
        <w:r w:rsidR="005D32B4" w:rsidRPr="00B74333">
          <w:rPr>
            <w:noProof/>
            <w:webHidden/>
          </w:rPr>
        </w:r>
        <w:r w:rsidR="005D32B4" w:rsidRPr="00B74333">
          <w:rPr>
            <w:noProof/>
            <w:webHidden/>
          </w:rPr>
          <w:fldChar w:fldCharType="separate"/>
        </w:r>
        <w:r w:rsidR="005D32B4" w:rsidRPr="00B74333">
          <w:rPr>
            <w:noProof/>
            <w:webHidden/>
          </w:rPr>
          <w:t>10</w:t>
        </w:r>
        <w:r w:rsidR="005D32B4" w:rsidRPr="00B74333">
          <w:rPr>
            <w:noProof/>
            <w:webHidden/>
          </w:rPr>
          <w:fldChar w:fldCharType="end"/>
        </w:r>
      </w:hyperlink>
    </w:p>
    <w:p w14:paraId="59E96975" w14:textId="573F86D1" w:rsidR="005D32B4" w:rsidRPr="00B74333" w:rsidRDefault="00000000">
      <w:pPr>
        <w:pStyle w:val="TOC1"/>
        <w:rPr>
          <w:rFonts w:asciiTheme="minorHAnsi" w:hAnsiTheme="minorHAnsi" w:cstheme="minorBidi"/>
          <w:noProof/>
          <w:kern w:val="2"/>
          <w:lang w:val="en-US" w:eastAsia="en-US"/>
          <w14:ligatures w14:val="standardContextual"/>
        </w:rPr>
      </w:pPr>
      <w:hyperlink w:anchor="_Toc165465557" w:history="1">
        <w:r w:rsidR="005D32B4" w:rsidRPr="00B74333">
          <w:rPr>
            <w:rStyle w:val="Hyperlink"/>
            <w:noProof/>
          </w:rPr>
          <w:t>Article 4 - Timeline</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_Toc165465557 \h </w:instrText>
        </w:r>
        <w:r w:rsidR="005D32B4" w:rsidRPr="00B74333">
          <w:rPr>
            <w:noProof/>
            <w:webHidden/>
          </w:rPr>
        </w:r>
        <w:r w:rsidR="005D32B4" w:rsidRPr="00B74333">
          <w:rPr>
            <w:noProof/>
            <w:webHidden/>
          </w:rPr>
          <w:fldChar w:fldCharType="separate"/>
        </w:r>
        <w:r w:rsidR="005D32B4" w:rsidRPr="00B74333">
          <w:rPr>
            <w:noProof/>
            <w:webHidden/>
          </w:rPr>
          <w:t>13</w:t>
        </w:r>
        <w:r w:rsidR="005D32B4" w:rsidRPr="00B74333">
          <w:rPr>
            <w:noProof/>
            <w:webHidden/>
          </w:rPr>
          <w:fldChar w:fldCharType="end"/>
        </w:r>
      </w:hyperlink>
    </w:p>
    <w:p w14:paraId="6A7F877E" w14:textId="6850D680" w:rsidR="005D32B4" w:rsidRPr="00B74333" w:rsidRDefault="00000000">
      <w:pPr>
        <w:pStyle w:val="TOC1"/>
        <w:rPr>
          <w:rFonts w:asciiTheme="minorHAnsi" w:hAnsiTheme="minorHAnsi" w:cstheme="minorBidi"/>
          <w:noProof/>
          <w:kern w:val="2"/>
          <w:lang w:val="en-US" w:eastAsia="en-US"/>
          <w14:ligatures w14:val="standardContextual"/>
        </w:rPr>
      </w:pPr>
      <w:hyperlink w:anchor="_Toc165465558" w:history="1">
        <w:r w:rsidR="005D32B4" w:rsidRPr="00B74333">
          <w:rPr>
            <w:rStyle w:val="Hyperlink"/>
            <w:noProof/>
          </w:rPr>
          <w:t>Article 5 - Registration and Bid submission</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_Toc165465558 \h </w:instrText>
        </w:r>
        <w:r w:rsidR="005D32B4" w:rsidRPr="00B74333">
          <w:rPr>
            <w:noProof/>
            <w:webHidden/>
          </w:rPr>
        </w:r>
        <w:r w:rsidR="005D32B4" w:rsidRPr="00B74333">
          <w:rPr>
            <w:noProof/>
            <w:webHidden/>
          </w:rPr>
          <w:fldChar w:fldCharType="separate"/>
        </w:r>
        <w:r w:rsidR="005D32B4" w:rsidRPr="00B74333">
          <w:rPr>
            <w:noProof/>
            <w:webHidden/>
          </w:rPr>
          <w:t>14</w:t>
        </w:r>
        <w:r w:rsidR="005D32B4" w:rsidRPr="00B74333">
          <w:rPr>
            <w:noProof/>
            <w:webHidden/>
          </w:rPr>
          <w:fldChar w:fldCharType="end"/>
        </w:r>
      </w:hyperlink>
    </w:p>
    <w:p w14:paraId="397DCC62" w14:textId="59D56AD2" w:rsidR="005D32B4" w:rsidRPr="00B74333" w:rsidRDefault="00000000">
      <w:pPr>
        <w:pStyle w:val="TOC1"/>
        <w:rPr>
          <w:rFonts w:asciiTheme="minorHAnsi" w:hAnsiTheme="minorHAnsi" w:cstheme="minorBidi"/>
          <w:noProof/>
          <w:kern w:val="2"/>
          <w:lang w:val="en-US" w:eastAsia="en-US"/>
          <w14:ligatures w14:val="standardContextual"/>
        </w:rPr>
      </w:pPr>
      <w:hyperlink w:anchor="_Toc165465559" w:history="1">
        <w:r w:rsidR="005D32B4" w:rsidRPr="00B74333">
          <w:rPr>
            <w:rStyle w:val="Hyperlink"/>
            <w:noProof/>
          </w:rPr>
          <w:t>Article 6 - Economic Test Parameters</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_Toc165465559 \h </w:instrText>
        </w:r>
        <w:r w:rsidR="005D32B4" w:rsidRPr="00B74333">
          <w:rPr>
            <w:noProof/>
            <w:webHidden/>
          </w:rPr>
        </w:r>
        <w:r w:rsidR="005D32B4" w:rsidRPr="00B74333">
          <w:rPr>
            <w:noProof/>
            <w:webHidden/>
          </w:rPr>
          <w:fldChar w:fldCharType="separate"/>
        </w:r>
        <w:r w:rsidR="005D32B4" w:rsidRPr="00B74333">
          <w:rPr>
            <w:noProof/>
            <w:webHidden/>
          </w:rPr>
          <w:t>19</w:t>
        </w:r>
        <w:r w:rsidR="005D32B4" w:rsidRPr="00B74333">
          <w:rPr>
            <w:noProof/>
            <w:webHidden/>
          </w:rPr>
          <w:fldChar w:fldCharType="end"/>
        </w:r>
      </w:hyperlink>
    </w:p>
    <w:p w14:paraId="2A169CC0" w14:textId="40EE62C4" w:rsidR="005D32B4" w:rsidRPr="00B74333" w:rsidRDefault="00000000">
      <w:pPr>
        <w:pStyle w:val="TOC1"/>
        <w:rPr>
          <w:rFonts w:asciiTheme="minorHAnsi" w:hAnsiTheme="minorHAnsi" w:cstheme="minorBidi"/>
          <w:noProof/>
          <w:kern w:val="2"/>
          <w:lang w:val="en-US" w:eastAsia="en-US"/>
          <w14:ligatures w14:val="standardContextual"/>
        </w:rPr>
      </w:pPr>
      <w:hyperlink w:anchor="_Toc165465560" w:history="1">
        <w:r w:rsidR="005D32B4" w:rsidRPr="00B74333">
          <w:rPr>
            <w:rStyle w:val="Hyperlink"/>
            <w:noProof/>
          </w:rPr>
          <w:t>Article 7 - Capacity Allocation and GTA signing</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_Toc165465560 \h </w:instrText>
        </w:r>
        <w:r w:rsidR="005D32B4" w:rsidRPr="00B74333">
          <w:rPr>
            <w:noProof/>
            <w:webHidden/>
          </w:rPr>
        </w:r>
        <w:r w:rsidR="005D32B4" w:rsidRPr="00B74333">
          <w:rPr>
            <w:noProof/>
            <w:webHidden/>
          </w:rPr>
          <w:fldChar w:fldCharType="separate"/>
        </w:r>
        <w:r w:rsidR="005D32B4" w:rsidRPr="00B74333">
          <w:rPr>
            <w:noProof/>
            <w:webHidden/>
          </w:rPr>
          <w:t>19</w:t>
        </w:r>
        <w:r w:rsidR="005D32B4" w:rsidRPr="00B74333">
          <w:rPr>
            <w:noProof/>
            <w:webHidden/>
          </w:rPr>
          <w:fldChar w:fldCharType="end"/>
        </w:r>
      </w:hyperlink>
    </w:p>
    <w:p w14:paraId="408840BA" w14:textId="6BBC814C" w:rsidR="005D32B4" w:rsidRPr="00B74333" w:rsidRDefault="00000000">
      <w:pPr>
        <w:pStyle w:val="TOC1"/>
        <w:rPr>
          <w:rFonts w:asciiTheme="minorHAnsi" w:hAnsiTheme="minorHAnsi" w:cstheme="minorBidi"/>
          <w:noProof/>
          <w:kern w:val="2"/>
          <w:lang w:val="en-US" w:eastAsia="en-US"/>
          <w14:ligatures w14:val="standardContextual"/>
        </w:rPr>
      </w:pPr>
      <w:hyperlink w:anchor="_Toc165465561" w:history="1">
        <w:r w:rsidR="005D32B4" w:rsidRPr="00B74333">
          <w:rPr>
            <w:rStyle w:val="Hyperlink"/>
            <w:noProof/>
          </w:rPr>
          <w:t>Article 8 - Notices</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_Toc165465561 \h </w:instrText>
        </w:r>
        <w:r w:rsidR="005D32B4" w:rsidRPr="00B74333">
          <w:rPr>
            <w:noProof/>
            <w:webHidden/>
          </w:rPr>
        </w:r>
        <w:r w:rsidR="005D32B4" w:rsidRPr="00B74333">
          <w:rPr>
            <w:noProof/>
            <w:webHidden/>
          </w:rPr>
          <w:fldChar w:fldCharType="separate"/>
        </w:r>
        <w:r w:rsidR="005D32B4" w:rsidRPr="00B74333">
          <w:rPr>
            <w:noProof/>
            <w:webHidden/>
          </w:rPr>
          <w:t>20</w:t>
        </w:r>
        <w:r w:rsidR="005D32B4" w:rsidRPr="00B74333">
          <w:rPr>
            <w:noProof/>
            <w:webHidden/>
          </w:rPr>
          <w:fldChar w:fldCharType="end"/>
        </w:r>
      </w:hyperlink>
    </w:p>
    <w:p w14:paraId="4627E448" w14:textId="566DFBFE" w:rsidR="005D32B4" w:rsidRPr="00B74333" w:rsidRDefault="00000000">
      <w:pPr>
        <w:pStyle w:val="TOC1"/>
        <w:rPr>
          <w:rFonts w:asciiTheme="minorHAnsi" w:hAnsiTheme="minorHAnsi" w:cstheme="minorBidi"/>
          <w:noProof/>
          <w:kern w:val="2"/>
          <w:lang w:val="en-US" w:eastAsia="en-US"/>
          <w14:ligatures w14:val="standardContextual"/>
        </w:rPr>
      </w:pPr>
      <w:hyperlink w:anchor="_Toc165465562" w:history="1">
        <w:r w:rsidR="005D32B4" w:rsidRPr="00B74333">
          <w:rPr>
            <w:rStyle w:val="Hyperlink"/>
            <w:noProof/>
          </w:rPr>
          <w:t>Article 9 - Force Majeure</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_Toc165465562 \h </w:instrText>
        </w:r>
        <w:r w:rsidR="005D32B4" w:rsidRPr="00B74333">
          <w:rPr>
            <w:noProof/>
            <w:webHidden/>
          </w:rPr>
        </w:r>
        <w:r w:rsidR="005D32B4" w:rsidRPr="00B74333">
          <w:rPr>
            <w:noProof/>
            <w:webHidden/>
          </w:rPr>
          <w:fldChar w:fldCharType="separate"/>
        </w:r>
        <w:r w:rsidR="005D32B4" w:rsidRPr="00B74333">
          <w:rPr>
            <w:noProof/>
            <w:webHidden/>
          </w:rPr>
          <w:t>21</w:t>
        </w:r>
        <w:r w:rsidR="005D32B4" w:rsidRPr="00B74333">
          <w:rPr>
            <w:noProof/>
            <w:webHidden/>
          </w:rPr>
          <w:fldChar w:fldCharType="end"/>
        </w:r>
      </w:hyperlink>
    </w:p>
    <w:p w14:paraId="036D674A" w14:textId="0F15244F" w:rsidR="005D32B4" w:rsidRPr="00B74333" w:rsidRDefault="00000000">
      <w:pPr>
        <w:pStyle w:val="TOC1"/>
        <w:rPr>
          <w:rFonts w:asciiTheme="minorHAnsi" w:hAnsiTheme="minorHAnsi" w:cstheme="minorBidi"/>
          <w:noProof/>
          <w:kern w:val="2"/>
          <w:lang w:val="en-US" w:eastAsia="en-US"/>
          <w14:ligatures w14:val="standardContextual"/>
        </w:rPr>
      </w:pPr>
      <w:hyperlink w:anchor="_Toc165465563" w:history="1">
        <w:r w:rsidR="005D32B4" w:rsidRPr="00B74333">
          <w:rPr>
            <w:rStyle w:val="Hyperlink"/>
            <w:noProof/>
          </w:rPr>
          <w:t xml:space="preserve">Article 10 - </w:t>
        </w:r>
        <w:r w:rsidR="005D32B4" w:rsidRPr="00B74333">
          <w:rPr>
            <w:rStyle w:val="Hyperlink"/>
            <w:rFonts w:eastAsia="Verdana,Bold"/>
            <w:noProof/>
          </w:rPr>
          <w:t>Anti-Bribery</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_Toc165465563 \h </w:instrText>
        </w:r>
        <w:r w:rsidR="005D32B4" w:rsidRPr="00B74333">
          <w:rPr>
            <w:noProof/>
            <w:webHidden/>
          </w:rPr>
        </w:r>
        <w:r w:rsidR="005D32B4" w:rsidRPr="00B74333">
          <w:rPr>
            <w:noProof/>
            <w:webHidden/>
          </w:rPr>
          <w:fldChar w:fldCharType="separate"/>
        </w:r>
        <w:r w:rsidR="005D32B4" w:rsidRPr="00B74333">
          <w:rPr>
            <w:noProof/>
            <w:webHidden/>
          </w:rPr>
          <w:t>21</w:t>
        </w:r>
        <w:r w:rsidR="005D32B4" w:rsidRPr="00B74333">
          <w:rPr>
            <w:noProof/>
            <w:webHidden/>
          </w:rPr>
          <w:fldChar w:fldCharType="end"/>
        </w:r>
      </w:hyperlink>
    </w:p>
    <w:p w14:paraId="17204027" w14:textId="208B6371" w:rsidR="005D32B4" w:rsidRPr="00B74333" w:rsidRDefault="00000000">
      <w:pPr>
        <w:pStyle w:val="TOC1"/>
        <w:rPr>
          <w:rFonts w:asciiTheme="minorHAnsi" w:hAnsiTheme="minorHAnsi" w:cstheme="minorBidi"/>
          <w:noProof/>
          <w:kern w:val="2"/>
          <w:lang w:val="en-US" w:eastAsia="en-US"/>
          <w14:ligatures w14:val="standardContextual"/>
        </w:rPr>
      </w:pPr>
      <w:hyperlink w:anchor="_Toc165465564" w:history="1">
        <w:r w:rsidR="005D32B4" w:rsidRPr="00B74333">
          <w:rPr>
            <w:rStyle w:val="Hyperlink"/>
            <w:noProof/>
          </w:rPr>
          <w:t>Article 11 - Personal Data</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_Toc165465564 \h </w:instrText>
        </w:r>
        <w:r w:rsidR="005D32B4" w:rsidRPr="00B74333">
          <w:rPr>
            <w:noProof/>
            <w:webHidden/>
          </w:rPr>
        </w:r>
        <w:r w:rsidR="005D32B4" w:rsidRPr="00B74333">
          <w:rPr>
            <w:noProof/>
            <w:webHidden/>
          </w:rPr>
          <w:fldChar w:fldCharType="separate"/>
        </w:r>
        <w:r w:rsidR="005D32B4" w:rsidRPr="00B74333">
          <w:rPr>
            <w:noProof/>
            <w:webHidden/>
          </w:rPr>
          <w:t>22</w:t>
        </w:r>
        <w:r w:rsidR="005D32B4" w:rsidRPr="00B74333">
          <w:rPr>
            <w:noProof/>
            <w:webHidden/>
          </w:rPr>
          <w:fldChar w:fldCharType="end"/>
        </w:r>
      </w:hyperlink>
    </w:p>
    <w:p w14:paraId="4B49C978" w14:textId="0BAE8B00" w:rsidR="005D32B4" w:rsidRPr="00B74333" w:rsidRDefault="00000000">
      <w:pPr>
        <w:pStyle w:val="TOC1"/>
        <w:rPr>
          <w:rFonts w:asciiTheme="minorHAnsi" w:hAnsiTheme="minorHAnsi" w:cstheme="minorBidi"/>
          <w:noProof/>
          <w:kern w:val="2"/>
          <w:lang w:val="en-US" w:eastAsia="en-US"/>
          <w14:ligatures w14:val="standardContextual"/>
        </w:rPr>
      </w:pPr>
      <w:hyperlink w:anchor="_Toc165465565" w:history="1">
        <w:r w:rsidR="005D32B4" w:rsidRPr="00B74333">
          <w:rPr>
            <w:rStyle w:val="Hyperlink"/>
            <w:noProof/>
          </w:rPr>
          <w:t>Article 12 - Governing Law and Dispute resolution</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_Toc165465565 \h </w:instrText>
        </w:r>
        <w:r w:rsidR="005D32B4" w:rsidRPr="00B74333">
          <w:rPr>
            <w:noProof/>
            <w:webHidden/>
          </w:rPr>
        </w:r>
        <w:r w:rsidR="005D32B4" w:rsidRPr="00B74333">
          <w:rPr>
            <w:noProof/>
            <w:webHidden/>
          </w:rPr>
          <w:fldChar w:fldCharType="separate"/>
        </w:r>
        <w:r w:rsidR="005D32B4" w:rsidRPr="00B74333">
          <w:rPr>
            <w:noProof/>
            <w:webHidden/>
          </w:rPr>
          <w:t>22</w:t>
        </w:r>
        <w:r w:rsidR="005D32B4" w:rsidRPr="00B74333">
          <w:rPr>
            <w:noProof/>
            <w:webHidden/>
          </w:rPr>
          <w:fldChar w:fldCharType="end"/>
        </w:r>
      </w:hyperlink>
    </w:p>
    <w:p w14:paraId="68C2EE5D" w14:textId="33B80C40" w:rsidR="005D32B4" w:rsidRPr="00B74333" w:rsidRDefault="00000000">
      <w:pPr>
        <w:pStyle w:val="TOC3"/>
        <w:rPr>
          <w:rFonts w:asciiTheme="minorHAnsi" w:hAnsiTheme="minorHAnsi" w:cstheme="minorBidi"/>
          <w:noProof/>
          <w:kern w:val="2"/>
          <w:lang w:val="en-US" w:eastAsia="en-US"/>
          <w14:ligatures w14:val="standardContextual"/>
        </w:rPr>
      </w:pPr>
      <w:hyperlink w:anchor="_Toc165465566" w:history="1">
        <w:r w:rsidR="005D32B4" w:rsidRPr="00B74333">
          <w:rPr>
            <w:rStyle w:val="Hyperlink"/>
            <w:noProof/>
          </w:rPr>
          <w:t>Annex I - Registration Form</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_Toc165465566 \h </w:instrText>
        </w:r>
        <w:r w:rsidR="005D32B4" w:rsidRPr="00B74333">
          <w:rPr>
            <w:noProof/>
            <w:webHidden/>
          </w:rPr>
        </w:r>
        <w:r w:rsidR="005D32B4" w:rsidRPr="00B74333">
          <w:rPr>
            <w:noProof/>
            <w:webHidden/>
          </w:rPr>
          <w:fldChar w:fldCharType="separate"/>
        </w:r>
        <w:r w:rsidR="005D32B4" w:rsidRPr="00B74333">
          <w:rPr>
            <w:noProof/>
            <w:webHidden/>
          </w:rPr>
          <w:t>23</w:t>
        </w:r>
        <w:r w:rsidR="005D32B4" w:rsidRPr="00B74333">
          <w:rPr>
            <w:noProof/>
            <w:webHidden/>
          </w:rPr>
          <w:fldChar w:fldCharType="end"/>
        </w:r>
      </w:hyperlink>
    </w:p>
    <w:p w14:paraId="193F4399" w14:textId="58B6DBC5" w:rsidR="005D32B4" w:rsidRPr="00B74333" w:rsidRDefault="00000000">
      <w:pPr>
        <w:pStyle w:val="TOC3"/>
        <w:rPr>
          <w:rFonts w:asciiTheme="minorHAnsi" w:hAnsiTheme="minorHAnsi" w:cstheme="minorBidi"/>
          <w:noProof/>
          <w:kern w:val="2"/>
          <w:lang w:val="en-US" w:eastAsia="en-US"/>
          <w14:ligatures w14:val="standardContextual"/>
        </w:rPr>
      </w:pPr>
      <w:hyperlink w:anchor="_Toc165465567" w:history="1">
        <w:r w:rsidR="005D32B4" w:rsidRPr="00B74333">
          <w:rPr>
            <w:rStyle w:val="Hyperlink"/>
            <w:noProof/>
          </w:rPr>
          <w:t>Annex II - Legalization documents submitted with the Registration Form</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_Toc165465567 \h </w:instrText>
        </w:r>
        <w:r w:rsidR="005D32B4" w:rsidRPr="00B74333">
          <w:rPr>
            <w:noProof/>
            <w:webHidden/>
          </w:rPr>
        </w:r>
        <w:r w:rsidR="005D32B4" w:rsidRPr="00B74333">
          <w:rPr>
            <w:noProof/>
            <w:webHidden/>
          </w:rPr>
          <w:fldChar w:fldCharType="separate"/>
        </w:r>
        <w:r w:rsidR="005D32B4" w:rsidRPr="00B74333">
          <w:rPr>
            <w:noProof/>
            <w:webHidden/>
          </w:rPr>
          <w:t>25</w:t>
        </w:r>
        <w:r w:rsidR="005D32B4" w:rsidRPr="00B74333">
          <w:rPr>
            <w:noProof/>
            <w:webHidden/>
          </w:rPr>
          <w:fldChar w:fldCharType="end"/>
        </w:r>
      </w:hyperlink>
    </w:p>
    <w:p w14:paraId="2B1107F2" w14:textId="660677C7" w:rsidR="005D32B4" w:rsidRPr="00B74333" w:rsidRDefault="00000000">
      <w:pPr>
        <w:pStyle w:val="TOC3"/>
        <w:rPr>
          <w:rFonts w:asciiTheme="minorHAnsi" w:hAnsiTheme="minorHAnsi" w:cstheme="minorBidi"/>
          <w:noProof/>
          <w:kern w:val="2"/>
          <w:lang w:val="en-US" w:eastAsia="en-US"/>
          <w14:ligatures w14:val="standardContextual"/>
        </w:rPr>
      </w:pPr>
      <w:hyperlink w:anchor="_Toc165465568" w:history="1">
        <w:r w:rsidR="005D32B4" w:rsidRPr="00B74333">
          <w:rPr>
            <w:rStyle w:val="Hyperlink"/>
            <w:noProof/>
          </w:rPr>
          <w:t>Annex III - Non-Disclosure Agreement</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_Toc165465568 \h </w:instrText>
        </w:r>
        <w:r w:rsidR="005D32B4" w:rsidRPr="00B74333">
          <w:rPr>
            <w:noProof/>
            <w:webHidden/>
          </w:rPr>
        </w:r>
        <w:r w:rsidR="005D32B4" w:rsidRPr="00B74333">
          <w:rPr>
            <w:noProof/>
            <w:webHidden/>
          </w:rPr>
          <w:fldChar w:fldCharType="separate"/>
        </w:r>
        <w:r w:rsidR="005D32B4" w:rsidRPr="00B74333">
          <w:rPr>
            <w:noProof/>
            <w:webHidden/>
          </w:rPr>
          <w:t>26</w:t>
        </w:r>
        <w:r w:rsidR="005D32B4" w:rsidRPr="00B74333">
          <w:rPr>
            <w:noProof/>
            <w:webHidden/>
          </w:rPr>
          <w:fldChar w:fldCharType="end"/>
        </w:r>
      </w:hyperlink>
    </w:p>
    <w:p w14:paraId="476A8DB4" w14:textId="67FA3B39" w:rsidR="005D32B4" w:rsidRPr="00B74333" w:rsidRDefault="00000000">
      <w:pPr>
        <w:pStyle w:val="TOC3"/>
        <w:rPr>
          <w:rFonts w:asciiTheme="minorHAnsi" w:hAnsiTheme="minorHAnsi" w:cstheme="minorBidi"/>
          <w:noProof/>
          <w:kern w:val="2"/>
          <w:lang w:val="en-US" w:eastAsia="en-US"/>
          <w14:ligatures w14:val="standardContextual"/>
        </w:rPr>
      </w:pPr>
      <w:hyperlink w:anchor="_Toc165465569" w:history="1">
        <w:r w:rsidR="005D32B4" w:rsidRPr="00B74333">
          <w:rPr>
            <w:rStyle w:val="Hyperlink"/>
            <w:noProof/>
          </w:rPr>
          <w:t>Annex IV - Binding Bid Form</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_Toc165465569 \h </w:instrText>
        </w:r>
        <w:r w:rsidR="005D32B4" w:rsidRPr="00B74333">
          <w:rPr>
            <w:noProof/>
            <w:webHidden/>
          </w:rPr>
        </w:r>
        <w:r w:rsidR="005D32B4" w:rsidRPr="00B74333">
          <w:rPr>
            <w:noProof/>
            <w:webHidden/>
          </w:rPr>
          <w:fldChar w:fldCharType="separate"/>
        </w:r>
        <w:r w:rsidR="005D32B4" w:rsidRPr="00B74333">
          <w:rPr>
            <w:noProof/>
            <w:webHidden/>
          </w:rPr>
          <w:t>31</w:t>
        </w:r>
        <w:r w:rsidR="005D32B4" w:rsidRPr="00B74333">
          <w:rPr>
            <w:noProof/>
            <w:webHidden/>
          </w:rPr>
          <w:fldChar w:fldCharType="end"/>
        </w:r>
      </w:hyperlink>
    </w:p>
    <w:p w14:paraId="5DCB1478" w14:textId="5737E5C0" w:rsidR="005D32B4" w:rsidRPr="00B74333" w:rsidRDefault="00000000">
      <w:pPr>
        <w:pStyle w:val="TOC3"/>
        <w:rPr>
          <w:rFonts w:asciiTheme="minorHAnsi" w:hAnsiTheme="minorHAnsi" w:cstheme="minorBidi"/>
          <w:noProof/>
          <w:kern w:val="2"/>
          <w:lang w:val="en-US" w:eastAsia="en-US"/>
          <w14:ligatures w14:val="standardContextual"/>
        </w:rPr>
      </w:pPr>
      <w:hyperlink w:anchor="_Toc165465570" w:history="1">
        <w:r w:rsidR="005D32B4" w:rsidRPr="00B74333">
          <w:rPr>
            <w:rStyle w:val="Hyperlink"/>
            <w:noProof/>
          </w:rPr>
          <w:t>Annex V - Binding Bid Guarantee Form</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_Toc165465570 \h </w:instrText>
        </w:r>
        <w:r w:rsidR="005D32B4" w:rsidRPr="00B74333">
          <w:rPr>
            <w:noProof/>
            <w:webHidden/>
          </w:rPr>
        </w:r>
        <w:r w:rsidR="005D32B4" w:rsidRPr="00B74333">
          <w:rPr>
            <w:noProof/>
            <w:webHidden/>
          </w:rPr>
          <w:fldChar w:fldCharType="separate"/>
        </w:r>
        <w:r w:rsidR="005D32B4" w:rsidRPr="00B74333">
          <w:rPr>
            <w:noProof/>
            <w:webHidden/>
          </w:rPr>
          <w:t>36</w:t>
        </w:r>
        <w:r w:rsidR="005D32B4" w:rsidRPr="00B74333">
          <w:rPr>
            <w:noProof/>
            <w:webHidden/>
          </w:rPr>
          <w:fldChar w:fldCharType="end"/>
        </w:r>
      </w:hyperlink>
    </w:p>
    <w:p w14:paraId="52DD36E1" w14:textId="45AD0514" w:rsidR="005D32B4" w:rsidRPr="00B74333" w:rsidRDefault="00000000">
      <w:pPr>
        <w:pStyle w:val="TOC3"/>
        <w:rPr>
          <w:rFonts w:asciiTheme="minorHAnsi" w:hAnsiTheme="minorHAnsi" w:cstheme="minorBidi"/>
          <w:noProof/>
          <w:kern w:val="2"/>
          <w:lang w:val="en-US" w:eastAsia="en-US"/>
          <w14:ligatures w14:val="standardContextual"/>
        </w:rPr>
      </w:pPr>
      <w:hyperlink w:anchor="_Toc165465571" w:history="1">
        <w:r w:rsidR="005D32B4" w:rsidRPr="00B74333">
          <w:rPr>
            <w:rStyle w:val="Hyperlink"/>
            <w:noProof/>
          </w:rPr>
          <w:t>Annex VI - Economic test parameters for DESFA</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_Toc165465571 \h </w:instrText>
        </w:r>
        <w:r w:rsidR="005D32B4" w:rsidRPr="00B74333">
          <w:rPr>
            <w:noProof/>
            <w:webHidden/>
          </w:rPr>
        </w:r>
        <w:r w:rsidR="005D32B4" w:rsidRPr="00B74333">
          <w:rPr>
            <w:noProof/>
            <w:webHidden/>
          </w:rPr>
          <w:fldChar w:fldCharType="separate"/>
        </w:r>
        <w:r w:rsidR="005D32B4" w:rsidRPr="00B74333">
          <w:rPr>
            <w:noProof/>
            <w:webHidden/>
          </w:rPr>
          <w:t>38</w:t>
        </w:r>
        <w:r w:rsidR="005D32B4" w:rsidRPr="00B74333">
          <w:rPr>
            <w:noProof/>
            <w:webHidden/>
          </w:rPr>
          <w:fldChar w:fldCharType="end"/>
        </w:r>
      </w:hyperlink>
    </w:p>
    <w:p w14:paraId="0B8F362D" w14:textId="59F3373D" w:rsidR="005D32B4" w:rsidRPr="00B74333" w:rsidRDefault="00000000">
      <w:pPr>
        <w:pStyle w:val="TOC3"/>
        <w:rPr>
          <w:rFonts w:asciiTheme="minorHAnsi" w:hAnsiTheme="minorHAnsi" w:cstheme="minorBidi"/>
          <w:noProof/>
          <w:kern w:val="2"/>
          <w:lang w:val="en-US" w:eastAsia="en-US"/>
          <w14:ligatures w14:val="standardContextual"/>
        </w:rPr>
      </w:pPr>
      <w:hyperlink w:anchor="_Toc165465572" w:history="1">
        <w:r w:rsidR="005D32B4" w:rsidRPr="00B74333">
          <w:rPr>
            <w:rStyle w:val="Hyperlink"/>
            <w:noProof/>
            <w:lang w:val="it-IT"/>
          </w:rPr>
          <w:t>Annex VII - Pro-forma GTA and GTA Guarantee</w:t>
        </w:r>
        <w:r w:rsidR="005D32B4" w:rsidRPr="00B74333">
          <w:rPr>
            <w:noProof/>
            <w:webHidden/>
          </w:rPr>
          <w:tab/>
        </w:r>
        <w:r w:rsidR="005D32B4" w:rsidRPr="00B74333">
          <w:rPr>
            <w:noProof/>
            <w:webHidden/>
          </w:rPr>
          <w:fldChar w:fldCharType="begin"/>
        </w:r>
        <w:r w:rsidR="005D32B4" w:rsidRPr="00B74333">
          <w:rPr>
            <w:noProof/>
            <w:webHidden/>
          </w:rPr>
          <w:instrText xml:space="preserve"> PAGEREF _Toc165465572 \h </w:instrText>
        </w:r>
        <w:r w:rsidR="005D32B4" w:rsidRPr="00B74333">
          <w:rPr>
            <w:noProof/>
            <w:webHidden/>
          </w:rPr>
        </w:r>
        <w:r w:rsidR="005D32B4" w:rsidRPr="00B74333">
          <w:rPr>
            <w:noProof/>
            <w:webHidden/>
          </w:rPr>
          <w:fldChar w:fldCharType="separate"/>
        </w:r>
        <w:r w:rsidR="005D32B4" w:rsidRPr="00B74333">
          <w:rPr>
            <w:noProof/>
            <w:webHidden/>
          </w:rPr>
          <w:t>40</w:t>
        </w:r>
        <w:r w:rsidR="005D32B4" w:rsidRPr="00B74333">
          <w:rPr>
            <w:noProof/>
            <w:webHidden/>
          </w:rPr>
          <w:fldChar w:fldCharType="end"/>
        </w:r>
      </w:hyperlink>
    </w:p>
    <w:p w14:paraId="123BCD9A" w14:textId="101E070F" w:rsidR="00563148" w:rsidRPr="00B74333" w:rsidRDefault="00563148" w:rsidP="00B75A9A">
      <w:pPr>
        <w:rPr>
          <w:rFonts w:cstheme="minorHAnsi"/>
        </w:rPr>
      </w:pPr>
      <w:r w:rsidRPr="00B74333">
        <w:rPr>
          <w:rFonts w:cstheme="minorHAnsi"/>
          <w:b/>
        </w:rPr>
        <w:fldChar w:fldCharType="end"/>
      </w:r>
      <w:r w:rsidR="00802112" w:rsidRPr="00B74333">
        <w:rPr>
          <w:rFonts w:cstheme="minorHAnsi"/>
        </w:rPr>
        <w:t xml:space="preserve"> </w:t>
      </w:r>
      <w:bookmarkStart w:id="1" w:name="_Toc28009882"/>
      <w:r w:rsidRPr="00B74333">
        <w:rPr>
          <w:rFonts w:cstheme="minorHAnsi"/>
        </w:rPr>
        <w:br w:type="page"/>
      </w:r>
    </w:p>
    <w:p w14:paraId="1B4B478B" w14:textId="77777777" w:rsidR="006037DF" w:rsidRPr="00B74333" w:rsidRDefault="006037DF" w:rsidP="007B52CF">
      <w:pPr>
        <w:widowControl w:val="0"/>
        <w:suppressAutoHyphens/>
        <w:spacing w:after="120" w:line="360" w:lineRule="auto"/>
        <w:jc w:val="both"/>
        <w:rPr>
          <w:rFonts w:cstheme="minorHAnsi"/>
        </w:rPr>
      </w:pPr>
      <w:bookmarkStart w:id="2" w:name="_Toc71289522"/>
      <w:bookmarkStart w:id="3" w:name="_Toc37333750"/>
      <w:r w:rsidRPr="00B74333">
        <w:rPr>
          <w:rFonts w:cstheme="minorHAnsi"/>
          <w:b/>
          <w:sz w:val="24"/>
        </w:rPr>
        <w:lastRenderedPageBreak/>
        <w:t>Preamble</w:t>
      </w:r>
      <w:bookmarkEnd w:id="2"/>
    </w:p>
    <w:p w14:paraId="3204549F" w14:textId="77777777" w:rsidR="00E76083" w:rsidRPr="00B74333" w:rsidRDefault="00E76083" w:rsidP="00E76083">
      <w:pPr>
        <w:widowControl w:val="0"/>
        <w:suppressAutoHyphens/>
        <w:spacing w:after="120" w:line="360" w:lineRule="auto"/>
        <w:jc w:val="both"/>
        <w:rPr>
          <w:rFonts w:cstheme="minorHAnsi"/>
        </w:rPr>
      </w:pPr>
      <w:r w:rsidRPr="00B74333">
        <w:rPr>
          <w:rFonts w:cstheme="minorHAnsi"/>
        </w:rPr>
        <w:t>Considering that:</w:t>
      </w:r>
    </w:p>
    <w:p w14:paraId="0B4FA0FA" w14:textId="46723807" w:rsidR="006037DF" w:rsidRPr="00B74333" w:rsidRDefault="006037DF" w:rsidP="00B34EBB">
      <w:pPr>
        <w:pStyle w:val="ListParagraph"/>
        <w:widowControl w:val="0"/>
        <w:numPr>
          <w:ilvl w:val="0"/>
          <w:numId w:val="19"/>
        </w:numPr>
        <w:suppressAutoHyphens/>
        <w:spacing w:after="120" w:line="360" w:lineRule="auto"/>
        <w:ind w:left="426" w:hanging="284"/>
        <w:jc w:val="both"/>
        <w:rPr>
          <w:rFonts w:cstheme="minorHAnsi"/>
        </w:rPr>
      </w:pPr>
      <w:r w:rsidRPr="00B74333">
        <w:rPr>
          <w:rFonts w:cstheme="minorHAnsi"/>
        </w:rPr>
        <w:t xml:space="preserve">Following the launch of the </w:t>
      </w:r>
      <w:r w:rsidR="00023A8A" w:rsidRPr="00B74333">
        <w:rPr>
          <w:rFonts w:cstheme="minorHAnsi"/>
        </w:rPr>
        <w:t xml:space="preserve">Market Test </w:t>
      </w:r>
      <w:r w:rsidR="00C44C41" w:rsidRPr="00B74333">
        <w:rPr>
          <w:rFonts w:cstheme="minorHAnsi"/>
        </w:rPr>
        <w:t xml:space="preserve">for the expansion of the capacity of the Greek National Natural Gas System </w:t>
      </w:r>
      <w:r w:rsidRPr="00B74333" w:rsidDel="00C44C41">
        <w:rPr>
          <w:rFonts w:cstheme="minorHAnsi"/>
        </w:rPr>
        <w:t xml:space="preserve">on </w:t>
      </w:r>
      <w:r w:rsidR="00C44C41" w:rsidRPr="00B74333">
        <w:rPr>
          <w:rFonts w:cstheme="minorHAnsi"/>
        </w:rPr>
        <w:t>March</w:t>
      </w:r>
      <w:r w:rsidRPr="00B74333" w:rsidDel="00E23A47">
        <w:rPr>
          <w:rFonts w:cstheme="minorHAnsi"/>
        </w:rPr>
        <w:t xml:space="preserve"> 20</w:t>
      </w:r>
      <w:r w:rsidR="002C3389" w:rsidRPr="00B74333">
        <w:rPr>
          <w:rFonts w:cstheme="minorHAnsi"/>
        </w:rPr>
        <w:t>2</w:t>
      </w:r>
      <w:r w:rsidR="00E23A47" w:rsidRPr="00B74333" w:rsidDel="00C44C41">
        <w:rPr>
          <w:rFonts w:cstheme="minorHAnsi"/>
        </w:rPr>
        <w:t>3</w:t>
      </w:r>
      <w:r w:rsidRPr="00B74333">
        <w:rPr>
          <w:rFonts w:cstheme="minorHAnsi"/>
        </w:rPr>
        <w:t>, DESFA has received non-binding demand indications and produced a</w:t>
      </w:r>
      <w:r w:rsidRPr="00B74333" w:rsidDel="00C44C41">
        <w:rPr>
          <w:rFonts w:cstheme="minorHAnsi"/>
        </w:rPr>
        <w:t xml:space="preserve"> </w:t>
      </w:r>
      <w:r w:rsidRPr="00B74333">
        <w:rPr>
          <w:rFonts w:cstheme="minorHAnsi"/>
        </w:rPr>
        <w:t xml:space="preserve">Demand Assessment Report </w:t>
      </w:r>
      <w:r w:rsidR="00CC5CD3" w:rsidRPr="00B74333">
        <w:rPr>
          <w:rFonts w:cstheme="minorHAnsi"/>
        </w:rPr>
        <w:t>(DAR),</w:t>
      </w:r>
      <w:r w:rsidR="00CC5CD3" w:rsidRPr="00B74333" w:rsidDel="00C44C41">
        <w:rPr>
          <w:rFonts w:cstheme="minorHAnsi"/>
        </w:rPr>
        <w:t xml:space="preserve"> </w:t>
      </w:r>
      <w:r w:rsidRPr="00B74333">
        <w:rPr>
          <w:rFonts w:cstheme="minorHAnsi"/>
        </w:rPr>
        <w:t xml:space="preserve">which was </w:t>
      </w:r>
      <w:r w:rsidR="001A27E3" w:rsidRPr="00B74333">
        <w:rPr>
          <w:rFonts w:cstheme="minorHAnsi"/>
        </w:rPr>
        <w:t xml:space="preserve">published on </w:t>
      </w:r>
      <w:r w:rsidRPr="00B74333">
        <w:rPr>
          <w:rFonts w:cstheme="minorHAnsi"/>
        </w:rPr>
        <w:t>the 2</w:t>
      </w:r>
      <w:r w:rsidR="003319CB" w:rsidRPr="00B74333" w:rsidDel="003319CB">
        <w:rPr>
          <w:rFonts w:cstheme="minorHAnsi"/>
        </w:rPr>
        <w:t>0</w:t>
      </w:r>
      <w:r w:rsidR="00E46B16" w:rsidRPr="00B74333">
        <w:rPr>
          <w:rFonts w:cstheme="minorHAnsi"/>
          <w:vertAlign w:val="superscript"/>
        </w:rPr>
        <w:t xml:space="preserve">th </w:t>
      </w:r>
      <w:r w:rsidRPr="00B74333">
        <w:rPr>
          <w:rFonts w:cstheme="minorHAnsi"/>
        </w:rPr>
        <w:t xml:space="preserve">of </w:t>
      </w:r>
      <w:r w:rsidR="003319CB" w:rsidRPr="00B74333" w:rsidDel="003319CB">
        <w:rPr>
          <w:rFonts w:cstheme="minorHAnsi"/>
        </w:rPr>
        <w:t>December</w:t>
      </w:r>
      <w:r w:rsidRPr="00B74333">
        <w:rPr>
          <w:rFonts w:cstheme="minorHAnsi"/>
        </w:rPr>
        <w:t xml:space="preserve"> 20</w:t>
      </w:r>
      <w:r w:rsidR="00E46B16" w:rsidRPr="00B74333">
        <w:rPr>
          <w:rFonts w:cstheme="minorHAnsi"/>
        </w:rPr>
        <w:t>2</w:t>
      </w:r>
      <w:r w:rsidR="003319CB" w:rsidRPr="00B74333" w:rsidDel="00A77F2A">
        <w:rPr>
          <w:rFonts w:cstheme="minorHAnsi"/>
        </w:rPr>
        <w:t>3</w:t>
      </w:r>
      <w:r w:rsidR="00570C58" w:rsidRPr="00B74333">
        <w:rPr>
          <w:rFonts w:cstheme="minorHAnsi"/>
        </w:rPr>
        <w:t>,</w:t>
      </w:r>
      <w:r w:rsidRPr="00B74333">
        <w:rPr>
          <w:rFonts w:cstheme="minorHAnsi"/>
        </w:rPr>
        <w:t xml:space="preserve"> with the conclusion that there was sufficient indicative demand to </w:t>
      </w:r>
      <w:r w:rsidR="00A77F2A" w:rsidRPr="00B74333">
        <w:rPr>
          <w:rFonts w:cstheme="minorHAnsi"/>
        </w:rPr>
        <w:t>launch the Design Phase</w:t>
      </w:r>
      <w:r w:rsidRPr="00B74333">
        <w:rPr>
          <w:rFonts w:cstheme="minorHAnsi"/>
        </w:rPr>
        <w:t>.</w:t>
      </w:r>
    </w:p>
    <w:p w14:paraId="2E6645EF" w14:textId="167F0315" w:rsidR="00C7211A" w:rsidRPr="00B74333" w:rsidRDefault="00080B2A" w:rsidP="00E225FD">
      <w:pPr>
        <w:pStyle w:val="ListParagraph"/>
        <w:widowControl w:val="0"/>
        <w:numPr>
          <w:ilvl w:val="0"/>
          <w:numId w:val="19"/>
        </w:numPr>
        <w:suppressAutoHyphens/>
        <w:spacing w:after="120" w:line="360" w:lineRule="auto"/>
        <w:ind w:left="426" w:hanging="284"/>
        <w:jc w:val="both"/>
        <w:rPr>
          <w:rFonts w:cstheme="minorHAnsi"/>
        </w:rPr>
      </w:pPr>
      <w:r w:rsidRPr="00B74333">
        <w:rPr>
          <w:rStyle w:val="normaltextrun"/>
          <w:rFonts w:cstheme="minorHAnsi"/>
          <w:color w:val="000000" w:themeColor="text1"/>
        </w:rPr>
        <w:t xml:space="preserve">In the </w:t>
      </w:r>
      <w:r w:rsidR="00C7211A" w:rsidRPr="00B74333">
        <w:rPr>
          <w:rStyle w:val="normaltextrun"/>
          <w:rFonts w:cstheme="minorHAnsi"/>
          <w:color w:val="000000" w:themeColor="text1"/>
        </w:rPr>
        <w:t xml:space="preserve">meantime, </w:t>
      </w:r>
      <w:r w:rsidR="00664B76" w:rsidRPr="00B74333">
        <w:rPr>
          <w:rStyle w:val="normaltextrun"/>
          <w:rFonts w:cstheme="minorHAnsi"/>
          <w:color w:val="000000" w:themeColor="text1"/>
        </w:rPr>
        <w:t>on the 3</w:t>
      </w:r>
      <w:r w:rsidR="00664B76" w:rsidRPr="00B74333">
        <w:rPr>
          <w:rStyle w:val="normaltextrun"/>
          <w:rFonts w:cstheme="minorHAnsi"/>
          <w:color w:val="000000" w:themeColor="text1"/>
          <w:vertAlign w:val="superscript"/>
        </w:rPr>
        <w:t>rd</w:t>
      </w:r>
      <w:r w:rsidR="00664B76" w:rsidRPr="00B74333">
        <w:rPr>
          <w:rStyle w:val="normaltextrun"/>
          <w:rFonts w:cstheme="minorHAnsi"/>
          <w:color w:val="000000" w:themeColor="text1"/>
        </w:rPr>
        <w:t xml:space="preserve"> of July 2023</w:t>
      </w:r>
      <w:r w:rsidR="00C7211A" w:rsidRPr="00B74333">
        <w:rPr>
          <w:rStyle w:val="normaltextrun"/>
          <w:rFonts w:cstheme="minorHAnsi"/>
          <w:color w:val="000000" w:themeColor="text1"/>
        </w:rPr>
        <w:t xml:space="preserve">, </w:t>
      </w:r>
      <w:r w:rsidR="00BE4C47" w:rsidRPr="00B74333">
        <w:rPr>
          <w:rStyle w:val="normaltextrun"/>
          <w:rFonts w:cstheme="minorHAnsi"/>
          <w:color w:val="000000" w:themeColor="text1"/>
        </w:rPr>
        <w:t xml:space="preserve">DESFA initiated an Incremental Capacity Process in accordance with </w:t>
      </w:r>
      <w:r w:rsidR="00F01E8D" w:rsidRPr="00B74333">
        <w:rPr>
          <w:rStyle w:val="normaltextrun"/>
          <w:rFonts w:cstheme="minorHAnsi"/>
          <w:color w:val="000000" w:themeColor="text1"/>
        </w:rPr>
        <w:t>Commission Regulation (EU) 2017/459 of 16 March 2017 (</w:t>
      </w:r>
      <w:r w:rsidR="00BE4C47" w:rsidRPr="00B74333">
        <w:rPr>
          <w:rStyle w:val="normaltextrun"/>
          <w:rFonts w:cstheme="minorHAnsi"/>
          <w:b/>
          <w:color w:val="000000" w:themeColor="text1"/>
        </w:rPr>
        <w:t>CAM NC</w:t>
      </w:r>
      <w:r w:rsidR="00F01E8D" w:rsidRPr="00B74333">
        <w:rPr>
          <w:rStyle w:val="normaltextrun"/>
          <w:rFonts w:cstheme="minorHAnsi"/>
          <w:b/>
          <w:color w:val="000000" w:themeColor="text1"/>
        </w:rPr>
        <w:t>)</w:t>
      </w:r>
      <w:r w:rsidR="00BE4C47" w:rsidRPr="00B74333">
        <w:rPr>
          <w:rStyle w:val="normaltextrun"/>
          <w:rFonts w:cstheme="minorHAnsi"/>
          <w:color w:val="000000" w:themeColor="text1"/>
        </w:rPr>
        <w:t xml:space="preserve">, inviting all interested parties to submit </w:t>
      </w:r>
      <w:proofErr w:type="gramStart"/>
      <w:r w:rsidR="00BE4C47" w:rsidRPr="00B74333">
        <w:rPr>
          <w:rStyle w:val="normaltextrun"/>
          <w:rFonts w:cstheme="minorHAnsi"/>
          <w:color w:val="000000" w:themeColor="text1"/>
        </w:rPr>
        <w:t>Non-binding</w:t>
      </w:r>
      <w:proofErr w:type="gramEnd"/>
      <w:r w:rsidR="00BE4C47" w:rsidRPr="00B74333">
        <w:rPr>
          <w:rStyle w:val="normaltextrun"/>
          <w:rFonts w:cstheme="minorHAnsi"/>
          <w:color w:val="000000" w:themeColor="text1"/>
        </w:rPr>
        <w:t xml:space="preserve"> demand indications for incremental capacity at existing or new interconnection points.</w:t>
      </w:r>
      <w:r w:rsidR="00E225FD" w:rsidRPr="00B74333">
        <w:rPr>
          <w:rStyle w:val="normaltextrun"/>
          <w:rFonts w:cstheme="minorHAnsi"/>
          <w:color w:val="000000" w:themeColor="text1"/>
        </w:rPr>
        <w:t xml:space="preserve"> </w:t>
      </w:r>
      <w:r w:rsidR="00DC35FD" w:rsidRPr="00B74333">
        <w:rPr>
          <w:rFonts w:cstheme="minorHAnsi"/>
        </w:rPr>
        <w:t>As a result, on 23</w:t>
      </w:r>
      <w:r w:rsidR="00DC35FD" w:rsidRPr="00B74333">
        <w:rPr>
          <w:rFonts w:cstheme="minorHAnsi"/>
          <w:vertAlign w:val="superscript"/>
        </w:rPr>
        <w:t>rd</w:t>
      </w:r>
      <w:r w:rsidR="00DC35FD" w:rsidRPr="00B74333">
        <w:rPr>
          <w:rFonts w:cstheme="minorHAnsi"/>
        </w:rPr>
        <w:t xml:space="preserve"> of October 2023, DESFA published two joint </w:t>
      </w:r>
      <w:r w:rsidR="5221759F" w:rsidRPr="00B74333">
        <w:rPr>
          <w:rFonts w:cstheme="minorHAnsi"/>
        </w:rPr>
        <w:t>D</w:t>
      </w:r>
      <w:r w:rsidR="00DC35FD" w:rsidRPr="00B74333">
        <w:rPr>
          <w:rFonts w:cstheme="minorHAnsi"/>
        </w:rPr>
        <w:t xml:space="preserve">emand </w:t>
      </w:r>
      <w:r w:rsidR="4DB5361A" w:rsidRPr="00B74333">
        <w:rPr>
          <w:rFonts w:cstheme="minorHAnsi"/>
        </w:rPr>
        <w:t>Assessment</w:t>
      </w:r>
      <w:r w:rsidR="00DC35FD" w:rsidRPr="00B74333">
        <w:rPr>
          <w:rFonts w:cstheme="minorHAnsi"/>
        </w:rPr>
        <w:t xml:space="preserve"> </w:t>
      </w:r>
      <w:r w:rsidR="50DFF408" w:rsidRPr="00B74333">
        <w:rPr>
          <w:rFonts w:cstheme="minorHAnsi"/>
        </w:rPr>
        <w:t>R</w:t>
      </w:r>
      <w:r w:rsidR="00DC35FD" w:rsidRPr="00B74333">
        <w:rPr>
          <w:rFonts w:cstheme="minorHAnsi"/>
        </w:rPr>
        <w:t xml:space="preserve">eports for Kulata/Sidirokastro and Komotini IPs, with ICGB and BULGARTRANSGAZ respectively, concluding that there was sufficient indicative demand to initiate incremental capacity </w:t>
      </w:r>
      <w:r w:rsidR="00664B76" w:rsidRPr="00B74333">
        <w:rPr>
          <w:rFonts w:cstheme="minorHAnsi"/>
        </w:rPr>
        <w:t>processes</w:t>
      </w:r>
      <w:r w:rsidR="00DC35FD" w:rsidRPr="00B74333">
        <w:rPr>
          <w:rFonts w:cstheme="minorHAnsi"/>
        </w:rPr>
        <w:t>.</w:t>
      </w:r>
    </w:p>
    <w:p w14:paraId="162A0E48" w14:textId="5AC0A53E" w:rsidR="00346CBD" w:rsidRPr="00B74333" w:rsidRDefault="00346CBD" w:rsidP="686A7CD0">
      <w:pPr>
        <w:pStyle w:val="ListParagraph"/>
        <w:widowControl w:val="0"/>
        <w:numPr>
          <w:ilvl w:val="0"/>
          <w:numId w:val="19"/>
        </w:numPr>
        <w:suppressAutoHyphens/>
        <w:spacing w:after="120" w:line="360" w:lineRule="auto"/>
        <w:ind w:left="426" w:hanging="284"/>
        <w:jc w:val="both"/>
        <w:rPr>
          <w:rFonts w:cstheme="minorHAnsi"/>
        </w:rPr>
      </w:pPr>
      <w:r w:rsidRPr="00B74333">
        <w:rPr>
          <w:rStyle w:val="normaltextrun"/>
          <w:rFonts w:cstheme="minorHAnsi"/>
          <w:color w:val="000000" w:themeColor="text1"/>
        </w:rPr>
        <w:t>On the 31</w:t>
      </w:r>
      <w:r w:rsidRPr="00B74333">
        <w:rPr>
          <w:rStyle w:val="normaltextrun"/>
          <w:rFonts w:cstheme="minorHAnsi"/>
          <w:color w:val="000000" w:themeColor="text1"/>
          <w:vertAlign w:val="superscript"/>
        </w:rPr>
        <w:t>st</w:t>
      </w:r>
      <w:r w:rsidRPr="00B74333">
        <w:rPr>
          <w:rStyle w:val="normaltextrun"/>
          <w:rFonts w:cstheme="minorHAnsi"/>
          <w:color w:val="000000" w:themeColor="text1"/>
        </w:rPr>
        <w:t xml:space="preserve"> of January 2024, DESFA published for public consultation the joint draft Project Proposal with BULGARTRANSGAZ, offering bundled capacity in the direction from DESFA System towards BULGARTRANSGAZ System. On the 7</w:t>
      </w:r>
      <w:r w:rsidRPr="00B74333">
        <w:rPr>
          <w:rStyle w:val="normaltextrun"/>
          <w:rFonts w:cstheme="minorHAnsi"/>
          <w:color w:val="000000" w:themeColor="text1"/>
          <w:vertAlign w:val="superscript"/>
        </w:rPr>
        <w:t>th</w:t>
      </w:r>
      <w:r w:rsidRPr="00B74333">
        <w:rPr>
          <w:rStyle w:val="normaltextrun"/>
          <w:rFonts w:cstheme="minorHAnsi"/>
          <w:color w:val="000000" w:themeColor="text1"/>
        </w:rPr>
        <w:t xml:space="preserve"> of February 2024, DESFA published for public consultation the joint draft Project Proposal with ICGB, offering bundled capacity in the direction from DESFA System towards IGB System. </w:t>
      </w:r>
    </w:p>
    <w:p w14:paraId="526E23E8" w14:textId="0DB9C003" w:rsidR="00346CBD" w:rsidRPr="00B74333" w:rsidRDefault="00346CBD" w:rsidP="00016981">
      <w:pPr>
        <w:pStyle w:val="ListParagraph"/>
        <w:widowControl w:val="0"/>
        <w:numPr>
          <w:ilvl w:val="0"/>
          <w:numId w:val="19"/>
        </w:numPr>
        <w:suppressAutoHyphens/>
        <w:spacing w:after="120" w:line="360" w:lineRule="auto"/>
        <w:ind w:left="426" w:hanging="284"/>
        <w:jc w:val="both"/>
        <w:rPr>
          <w:rFonts w:cstheme="minorHAnsi"/>
        </w:rPr>
      </w:pPr>
      <w:r w:rsidRPr="00B74333">
        <w:rPr>
          <w:rFonts w:cstheme="minorHAnsi"/>
        </w:rPr>
        <w:t xml:space="preserve">The Project Proposals </w:t>
      </w:r>
      <w:r w:rsidR="004A653B" w:rsidRPr="00B74333">
        <w:rPr>
          <w:rStyle w:val="normaltextrun"/>
          <w:rFonts w:cstheme="minorHAnsi"/>
          <w:color w:val="000000" w:themeColor="text1"/>
        </w:rPr>
        <w:t>with BULGARTRANSGAZ</w:t>
      </w:r>
      <w:r w:rsidR="004A653B" w:rsidRPr="00B74333">
        <w:rPr>
          <w:rFonts w:cstheme="minorHAnsi"/>
        </w:rPr>
        <w:t xml:space="preserve"> and ICGB</w:t>
      </w:r>
      <w:r w:rsidRPr="00B74333">
        <w:rPr>
          <w:rFonts w:cstheme="minorHAnsi"/>
        </w:rPr>
        <w:t xml:space="preserve"> </w:t>
      </w:r>
      <w:r w:rsidR="00E06995" w:rsidRPr="00B74333">
        <w:rPr>
          <w:rFonts w:cstheme="minorHAnsi"/>
        </w:rPr>
        <w:t>have been</w:t>
      </w:r>
      <w:r w:rsidRPr="00B74333">
        <w:rPr>
          <w:rFonts w:cstheme="minorHAnsi"/>
        </w:rPr>
        <w:t xml:space="preserve"> </w:t>
      </w:r>
      <w:r w:rsidRPr="00B74333">
        <w:rPr>
          <w:rStyle w:val="normaltextrun"/>
          <w:rFonts w:cstheme="minorHAnsi"/>
          <w:color w:val="000000" w:themeColor="text1"/>
        </w:rPr>
        <w:t xml:space="preserve">submitted to the Greek and Bulgarian NRAs and </w:t>
      </w:r>
      <w:r w:rsidR="00016981" w:rsidRPr="00B74333">
        <w:rPr>
          <w:rStyle w:val="normaltextrun"/>
          <w:rFonts w:cstheme="minorHAnsi"/>
          <w:color w:val="000000" w:themeColor="text1"/>
        </w:rPr>
        <w:t xml:space="preserve">were </w:t>
      </w:r>
      <w:r w:rsidRPr="00B74333">
        <w:rPr>
          <w:rStyle w:val="normaltextrun"/>
          <w:rFonts w:cstheme="minorHAnsi"/>
          <w:color w:val="000000" w:themeColor="text1"/>
        </w:rPr>
        <w:t xml:space="preserve">approved by the Hellenic Regulatory Authority for Energy, Waste &amp; Water (RAEWW) by its Decision </w:t>
      </w:r>
      <w:r w:rsidR="00D47EB3" w:rsidRPr="00B74333">
        <w:rPr>
          <w:rStyle w:val="normaltextrun"/>
          <w:rFonts w:cstheme="minorHAnsi"/>
          <w:color w:val="000000" w:themeColor="text1"/>
          <w:lang w:val="el-GR"/>
        </w:rPr>
        <w:t>Ν</w:t>
      </w:r>
      <w:r w:rsidRPr="00B74333">
        <w:rPr>
          <w:rStyle w:val="normaltextrun"/>
          <w:rFonts w:cstheme="minorHAnsi"/>
          <w:color w:val="000000" w:themeColor="text1"/>
        </w:rPr>
        <w:t>o</w:t>
      </w:r>
      <w:r w:rsidR="00617A54" w:rsidRPr="00B74333">
        <w:rPr>
          <w:rStyle w:val="normaltextrun"/>
          <w:rFonts w:cstheme="minorHAnsi"/>
          <w:color w:val="000000" w:themeColor="text1"/>
        </w:rPr>
        <w:t xml:space="preserve"> </w:t>
      </w:r>
      <w:r w:rsidR="00FA10A8" w:rsidRPr="00B74333">
        <w:rPr>
          <w:rStyle w:val="normaltextrun"/>
          <w:rFonts w:cstheme="minorHAnsi"/>
          <w:color w:val="000000" w:themeColor="text1"/>
          <w:lang w:val="el-GR"/>
        </w:rPr>
        <w:t>Ε</w:t>
      </w:r>
      <w:r w:rsidR="00FA10A8" w:rsidRPr="00B74333">
        <w:rPr>
          <w:rStyle w:val="normaltextrun"/>
          <w:rFonts w:cstheme="minorHAnsi"/>
          <w:color w:val="000000" w:themeColor="text1"/>
        </w:rPr>
        <w:t>-94/2024</w:t>
      </w:r>
      <w:r w:rsidR="00D47EB3" w:rsidRPr="00B74333">
        <w:rPr>
          <w:rStyle w:val="normaltextrun"/>
          <w:rFonts w:cstheme="minorHAnsi"/>
          <w:color w:val="000000" w:themeColor="text1"/>
        </w:rPr>
        <w:t xml:space="preserve"> </w:t>
      </w:r>
      <w:r w:rsidR="00016981" w:rsidRPr="00B74333">
        <w:rPr>
          <w:rStyle w:val="normaltextrun"/>
          <w:rFonts w:cstheme="minorHAnsi"/>
          <w:color w:val="000000" w:themeColor="text1"/>
        </w:rPr>
        <w:t xml:space="preserve">and </w:t>
      </w:r>
      <w:r w:rsidRPr="00B74333">
        <w:rPr>
          <w:rStyle w:val="normaltextrun"/>
          <w:rFonts w:cstheme="minorHAnsi"/>
          <w:color w:val="000000" w:themeColor="text1"/>
        </w:rPr>
        <w:t xml:space="preserve">Decision </w:t>
      </w:r>
      <w:r w:rsidR="00D47EB3" w:rsidRPr="00B74333">
        <w:rPr>
          <w:rStyle w:val="normaltextrun"/>
          <w:rFonts w:cstheme="minorHAnsi"/>
          <w:color w:val="000000" w:themeColor="text1"/>
          <w:lang w:val="el-GR"/>
        </w:rPr>
        <w:t>Ν</w:t>
      </w:r>
      <w:r w:rsidRPr="00B74333">
        <w:rPr>
          <w:rStyle w:val="normaltextrun"/>
          <w:rFonts w:cstheme="minorHAnsi"/>
          <w:color w:val="000000" w:themeColor="text1"/>
        </w:rPr>
        <w:t>o</w:t>
      </w:r>
      <w:r w:rsidR="00D47EB3" w:rsidRPr="00B74333">
        <w:rPr>
          <w:rStyle w:val="normaltextrun"/>
          <w:rFonts w:cstheme="minorHAnsi"/>
          <w:color w:val="000000" w:themeColor="text1"/>
        </w:rPr>
        <w:t xml:space="preserve"> </w:t>
      </w:r>
      <w:r w:rsidR="006E61C6" w:rsidRPr="00B74333">
        <w:rPr>
          <w:rStyle w:val="normaltextrun"/>
          <w:rFonts w:cstheme="minorHAnsi"/>
          <w:color w:val="000000" w:themeColor="text1"/>
          <w:lang w:val="el-GR"/>
        </w:rPr>
        <w:t>Ε</w:t>
      </w:r>
      <w:r w:rsidR="006E61C6" w:rsidRPr="00B74333">
        <w:rPr>
          <w:rStyle w:val="normaltextrun"/>
          <w:rFonts w:cstheme="minorHAnsi"/>
          <w:color w:val="000000" w:themeColor="text1"/>
        </w:rPr>
        <w:t>-95/2024</w:t>
      </w:r>
      <w:r w:rsidR="00D47EB3" w:rsidRPr="00B74333">
        <w:rPr>
          <w:rStyle w:val="normaltextrun"/>
          <w:rFonts w:cstheme="minorHAnsi"/>
          <w:color w:val="000000" w:themeColor="text1"/>
        </w:rPr>
        <w:t xml:space="preserve"> </w:t>
      </w:r>
      <w:r w:rsidR="00016981" w:rsidRPr="00B74333">
        <w:rPr>
          <w:rStyle w:val="normaltextrun"/>
          <w:rFonts w:cstheme="minorHAnsi"/>
          <w:color w:val="000000" w:themeColor="text1"/>
        </w:rPr>
        <w:t>respectively</w:t>
      </w:r>
      <w:r w:rsidR="00456727" w:rsidRPr="00B74333">
        <w:rPr>
          <w:rStyle w:val="normaltextrun"/>
          <w:rFonts w:cstheme="minorHAnsi"/>
          <w:color w:val="000000" w:themeColor="text1"/>
        </w:rPr>
        <w:t xml:space="preserve"> and by the </w:t>
      </w:r>
      <w:r w:rsidR="00CE69F3" w:rsidRPr="00B74333">
        <w:rPr>
          <w:rStyle w:val="normaltextrun"/>
          <w:rFonts w:cstheme="minorHAnsi"/>
          <w:color w:val="000000" w:themeColor="text1"/>
        </w:rPr>
        <w:t>Energy and Water Regulatory Commission of Bulgaria</w:t>
      </w:r>
      <w:r w:rsidR="00B05EA0" w:rsidRPr="00B74333">
        <w:rPr>
          <w:rStyle w:val="normaltextrun"/>
          <w:rFonts w:cstheme="minorHAnsi"/>
          <w:color w:val="000000" w:themeColor="text1"/>
        </w:rPr>
        <w:t xml:space="preserve"> (EWRC) by </w:t>
      </w:r>
      <w:r w:rsidR="00450862" w:rsidRPr="00B74333">
        <w:rPr>
          <w:rStyle w:val="normaltextrun"/>
          <w:rFonts w:cstheme="minorHAnsi"/>
          <w:color w:val="000000" w:themeColor="text1"/>
        </w:rPr>
        <w:t xml:space="preserve">its Decision </w:t>
      </w:r>
      <w:proofErr w:type="spellStart"/>
      <w:r w:rsidR="00450862" w:rsidRPr="00B74333">
        <w:rPr>
          <w:rStyle w:val="normaltextrun"/>
          <w:rFonts w:cstheme="minorHAnsi"/>
          <w:color w:val="000000" w:themeColor="text1"/>
        </w:rPr>
        <w:t>Νo</w:t>
      </w:r>
      <w:proofErr w:type="spellEnd"/>
      <w:r w:rsidR="002D439D" w:rsidRPr="00B74333">
        <w:rPr>
          <w:rStyle w:val="normaltextrun"/>
          <w:rFonts w:cstheme="minorHAnsi"/>
          <w:color w:val="000000" w:themeColor="text1"/>
        </w:rPr>
        <w:t>.</w:t>
      </w:r>
      <w:r w:rsidR="00450862" w:rsidRPr="00B74333">
        <w:rPr>
          <w:rStyle w:val="normaltextrun"/>
          <w:rFonts w:cstheme="minorHAnsi"/>
          <w:color w:val="000000" w:themeColor="text1"/>
        </w:rPr>
        <w:t xml:space="preserve"> </w:t>
      </w:r>
      <w:r w:rsidR="00F3208A" w:rsidRPr="00B74333">
        <w:rPr>
          <w:rStyle w:val="normaltextrun"/>
          <w:rFonts w:cstheme="minorHAnsi"/>
          <w:color w:val="000000" w:themeColor="text1"/>
        </w:rPr>
        <w:t>ПДК-4/26.04.2024</w:t>
      </w:r>
      <w:r w:rsidR="00CC5134" w:rsidRPr="00B74333">
        <w:rPr>
          <w:rStyle w:val="normaltextrun"/>
          <w:rFonts w:cstheme="minorHAnsi"/>
          <w:color w:val="000000" w:themeColor="text1"/>
        </w:rPr>
        <w:t xml:space="preserve"> </w:t>
      </w:r>
      <w:r w:rsidR="00450862" w:rsidRPr="00B74333">
        <w:rPr>
          <w:rStyle w:val="normaltextrun"/>
          <w:rFonts w:cstheme="minorHAnsi"/>
          <w:color w:val="000000" w:themeColor="text1"/>
        </w:rPr>
        <w:t xml:space="preserve">and Decision </w:t>
      </w:r>
      <w:proofErr w:type="spellStart"/>
      <w:r w:rsidR="00450862" w:rsidRPr="00B74333">
        <w:rPr>
          <w:rStyle w:val="normaltextrun"/>
          <w:rFonts w:cstheme="minorHAnsi"/>
          <w:color w:val="000000" w:themeColor="text1"/>
        </w:rPr>
        <w:t>Νo</w:t>
      </w:r>
      <w:proofErr w:type="spellEnd"/>
      <w:r w:rsidR="002D439D" w:rsidRPr="00B74333">
        <w:rPr>
          <w:rStyle w:val="normaltextrun"/>
          <w:rFonts w:cstheme="minorHAnsi"/>
          <w:color w:val="000000" w:themeColor="text1"/>
          <w:lang w:val="el-GR"/>
        </w:rPr>
        <w:t>.</w:t>
      </w:r>
      <w:r w:rsidR="00450862" w:rsidRPr="00B74333">
        <w:rPr>
          <w:rStyle w:val="normaltextrun"/>
          <w:rFonts w:cstheme="minorHAnsi"/>
          <w:color w:val="000000" w:themeColor="text1"/>
        </w:rPr>
        <w:t xml:space="preserve"> </w:t>
      </w:r>
      <w:r w:rsidR="00F21388" w:rsidRPr="00B74333">
        <w:rPr>
          <w:rStyle w:val="normaltextrun"/>
          <w:rFonts w:cstheme="minorHAnsi"/>
          <w:color w:val="000000" w:themeColor="text1"/>
        </w:rPr>
        <w:t>PDC–1/26.04.2024</w:t>
      </w:r>
      <w:r w:rsidR="00450862" w:rsidRPr="00B74333">
        <w:rPr>
          <w:rStyle w:val="normaltextrun"/>
          <w:rFonts w:cstheme="minorHAnsi"/>
          <w:color w:val="000000" w:themeColor="text1"/>
        </w:rPr>
        <w:t xml:space="preserve"> respectively</w:t>
      </w:r>
      <w:r w:rsidR="00016981" w:rsidRPr="00B74333">
        <w:rPr>
          <w:rStyle w:val="normaltextrun"/>
          <w:rFonts w:cstheme="minorHAnsi"/>
          <w:color w:val="000000" w:themeColor="text1"/>
        </w:rPr>
        <w:t>.</w:t>
      </w:r>
    </w:p>
    <w:p w14:paraId="78B39CF8" w14:textId="496723CC" w:rsidR="00F01471" w:rsidRPr="00B74333" w:rsidRDefault="007A51AE" w:rsidP="00DC7830">
      <w:pPr>
        <w:pStyle w:val="ListParagraph"/>
        <w:widowControl w:val="0"/>
        <w:numPr>
          <w:ilvl w:val="0"/>
          <w:numId w:val="19"/>
        </w:numPr>
        <w:suppressAutoHyphens/>
        <w:spacing w:after="120" w:line="360" w:lineRule="auto"/>
        <w:ind w:left="426" w:hanging="284"/>
        <w:jc w:val="both"/>
        <w:rPr>
          <w:rFonts w:cstheme="minorHAnsi"/>
        </w:rPr>
      </w:pPr>
      <w:r w:rsidRPr="00B74333">
        <w:rPr>
          <w:rFonts w:cstheme="minorHAnsi"/>
        </w:rPr>
        <w:t>On</w:t>
      </w:r>
      <w:r w:rsidR="1950BB96" w:rsidRPr="00B74333">
        <w:rPr>
          <w:rFonts w:cstheme="minorHAnsi"/>
        </w:rPr>
        <w:t xml:space="preserve"> the</w:t>
      </w:r>
      <w:r w:rsidRPr="00B74333">
        <w:rPr>
          <w:rFonts w:cstheme="minorHAnsi"/>
        </w:rPr>
        <w:t xml:space="preserve"> </w:t>
      </w:r>
      <w:r w:rsidR="61CF40D2" w:rsidRPr="00B74333">
        <w:rPr>
          <w:rFonts w:cstheme="minorHAnsi"/>
        </w:rPr>
        <w:t>15</w:t>
      </w:r>
      <w:r w:rsidR="61CF40D2" w:rsidRPr="00B74333">
        <w:rPr>
          <w:rFonts w:cstheme="minorHAnsi"/>
          <w:vertAlign w:val="superscript"/>
        </w:rPr>
        <w:t>th</w:t>
      </w:r>
      <w:r w:rsidR="006037DF" w:rsidRPr="00B74333">
        <w:rPr>
          <w:rFonts w:cstheme="minorHAnsi"/>
        </w:rPr>
        <w:t xml:space="preserve"> </w:t>
      </w:r>
      <w:r w:rsidRPr="00B74333">
        <w:rPr>
          <w:rFonts w:cstheme="minorHAnsi"/>
        </w:rPr>
        <w:t xml:space="preserve">of </w:t>
      </w:r>
      <w:r w:rsidR="007E6EF2" w:rsidRPr="00B74333">
        <w:rPr>
          <w:rFonts w:cstheme="minorHAnsi"/>
        </w:rPr>
        <w:t>March</w:t>
      </w:r>
      <w:r w:rsidR="006037DF" w:rsidRPr="00B74333">
        <w:rPr>
          <w:rFonts w:cstheme="minorHAnsi"/>
        </w:rPr>
        <w:t xml:space="preserve"> 202</w:t>
      </w:r>
      <w:r w:rsidR="00A77F2A" w:rsidRPr="00B74333">
        <w:rPr>
          <w:rFonts w:cstheme="minorHAnsi"/>
        </w:rPr>
        <w:t>4</w:t>
      </w:r>
      <w:r w:rsidR="006037DF" w:rsidRPr="00B74333">
        <w:rPr>
          <w:rFonts w:cstheme="minorHAnsi"/>
        </w:rPr>
        <w:t xml:space="preserve">, DESFA </w:t>
      </w:r>
      <w:r w:rsidR="00A67B81" w:rsidRPr="00B74333">
        <w:rPr>
          <w:rFonts w:cstheme="minorHAnsi"/>
        </w:rPr>
        <w:t xml:space="preserve">also </w:t>
      </w:r>
      <w:r w:rsidR="006037DF" w:rsidRPr="00B74333">
        <w:rPr>
          <w:rFonts w:cstheme="minorHAnsi"/>
        </w:rPr>
        <w:t xml:space="preserve">launched a public consultation on the draft </w:t>
      </w:r>
      <w:r w:rsidR="00EB050B" w:rsidRPr="00B74333">
        <w:rPr>
          <w:rFonts w:cstheme="minorHAnsi"/>
        </w:rPr>
        <w:t>Guidelines for the Market Test for the expansion of the NNGS</w:t>
      </w:r>
      <w:r w:rsidR="008931DD" w:rsidRPr="00B74333">
        <w:rPr>
          <w:rFonts w:cstheme="minorHAnsi"/>
        </w:rPr>
        <w:t>,</w:t>
      </w:r>
      <w:r w:rsidR="006037DF" w:rsidRPr="00B74333">
        <w:rPr>
          <w:rFonts w:cstheme="minorHAnsi"/>
        </w:rPr>
        <w:t xml:space="preserve"> </w:t>
      </w:r>
      <w:proofErr w:type="gramStart"/>
      <w:r w:rsidR="00905888" w:rsidRPr="00B74333">
        <w:rPr>
          <w:rFonts w:cstheme="minorHAnsi"/>
        </w:rPr>
        <w:t>in order</w:t>
      </w:r>
      <w:r w:rsidR="006037DF" w:rsidRPr="00B74333">
        <w:rPr>
          <w:rFonts w:cstheme="minorHAnsi"/>
        </w:rPr>
        <w:t xml:space="preserve"> to</w:t>
      </w:r>
      <w:proofErr w:type="gramEnd"/>
      <w:r w:rsidR="006037DF" w:rsidRPr="00B74333">
        <w:rPr>
          <w:rFonts w:cstheme="minorHAnsi"/>
        </w:rPr>
        <w:t xml:space="preserve"> meet the received indicative non-binding demand requests.</w:t>
      </w:r>
      <w:r w:rsidR="00DC7830" w:rsidRPr="00B74333">
        <w:rPr>
          <w:rFonts w:cstheme="minorHAnsi"/>
        </w:rPr>
        <w:t xml:space="preserve"> </w:t>
      </w:r>
      <w:r w:rsidR="006037DF" w:rsidRPr="00B74333">
        <w:rPr>
          <w:rFonts w:cstheme="minorHAnsi"/>
        </w:rPr>
        <w:t xml:space="preserve">The </w:t>
      </w:r>
      <w:bookmarkEnd w:id="1"/>
      <w:bookmarkEnd w:id="3"/>
      <w:r w:rsidR="008A36F5" w:rsidRPr="00B74333">
        <w:rPr>
          <w:rFonts w:cstheme="minorHAnsi"/>
        </w:rPr>
        <w:t>Guidelines</w:t>
      </w:r>
      <w:r w:rsidR="006C6981" w:rsidRPr="00B74333">
        <w:rPr>
          <w:rFonts w:cstheme="minorHAnsi"/>
        </w:rPr>
        <w:t xml:space="preserve"> </w:t>
      </w:r>
      <w:r w:rsidR="005308D7" w:rsidRPr="00B74333">
        <w:rPr>
          <w:rFonts w:cstheme="minorHAnsi"/>
        </w:rPr>
        <w:t>were</w:t>
      </w:r>
      <w:r w:rsidR="007B52CF" w:rsidRPr="00B74333">
        <w:rPr>
          <w:rFonts w:cstheme="minorHAnsi"/>
        </w:rPr>
        <w:t xml:space="preserve"> </w:t>
      </w:r>
      <w:r w:rsidR="006037DF" w:rsidRPr="00B74333">
        <w:rPr>
          <w:rFonts w:cstheme="minorHAnsi"/>
        </w:rPr>
        <w:t xml:space="preserve">approved </w:t>
      </w:r>
      <w:r w:rsidR="007B52CF" w:rsidRPr="00B74333">
        <w:rPr>
          <w:rFonts w:cstheme="minorHAnsi"/>
        </w:rPr>
        <w:t xml:space="preserve">by </w:t>
      </w:r>
      <w:r w:rsidR="00FB0480" w:rsidRPr="00B74333">
        <w:rPr>
          <w:rFonts w:cstheme="minorHAnsi"/>
        </w:rPr>
        <w:t xml:space="preserve">the Hellenic Regulatory Authority </w:t>
      </w:r>
      <w:r w:rsidR="00D23BF7" w:rsidRPr="00B74333">
        <w:rPr>
          <w:rFonts w:cstheme="minorHAnsi"/>
        </w:rPr>
        <w:t>f</w:t>
      </w:r>
      <w:r w:rsidR="00337F08" w:rsidRPr="00B74333">
        <w:rPr>
          <w:rFonts w:cstheme="minorHAnsi"/>
        </w:rPr>
        <w:t>or</w:t>
      </w:r>
      <w:r w:rsidR="00D23BF7" w:rsidRPr="00B74333">
        <w:rPr>
          <w:rFonts w:cstheme="minorHAnsi"/>
        </w:rPr>
        <w:t xml:space="preserve"> Energy</w:t>
      </w:r>
      <w:r w:rsidR="000F0716" w:rsidRPr="00B74333">
        <w:rPr>
          <w:rFonts w:cstheme="minorHAnsi"/>
        </w:rPr>
        <w:t>, Waste &amp; Water</w:t>
      </w:r>
      <w:r w:rsidR="00D23BF7" w:rsidRPr="00B74333">
        <w:rPr>
          <w:rFonts w:cstheme="minorHAnsi"/>
        </w:rPr>
        <w:t xml:space="preserve"> </w:t>
      </w:r>
      <w:r w:rsidR="00FB0480" w:rsidRPr="00B74333">
        <w:rPr>
          <w:rFonts w:cstheme="minorHAnsi"/>
        </w:rPr>
        <w:t>(RAE</w:t>
      </w:r>
      <w:r w:rsidR="00657F0C" w:rsidRPr="00B74333">
        <w:rPr>
          <w:rFonts w:cstheme="minorHAnsi"/>
        </w:rPr>
        <w:t>WW</w:t>
      </w:r>
      <w:r w:rsidR="00FB0480" w:rsidRPr="00B74333">
        <w:rPr>
          <w:rFonts w:cstheme="minorHAnsi"/>
        </w:rPr>
        <w:t>)</w:t>
      </w:r>
      <w:r w:rsidR="007B52CF" w:rsidRPr="00B74333">
        <w:rPr>
          <w:rFonts w:cstheme="minorHAnsi"/>
        </w:rPr>
        <w:t xml:space="preserve"> by its Decision </w:t>
      </w:r>
      <w:r w:rsidR="00D47EB3" w:rsidRPr="00B74333">
        <w:rPr>
          <w:rFonts w:cstheme="minorHAnsi"/>
          <w:lang w:val="el-GR"/>
        </w:rPr>
        <w:t>Ν</w:t>
      </w:r>
      <w:r w:rsidR="007B52CF" w:rsidRPr="00B74333">
        <w:rPr>
          <w:rFonts w:cstheme="minorHAnsi"/>
        </w:rPr>
        <w:t>o</w:t>
      </w:r>
      <w:r w:rsidR="00D47EB3" w:rsidRPr="00B74333">
        <w:rPr>
          <w:rFonts w:cstheme="minorHAnsi"/>
        </w:rPr>
        <w:t xml:space="preserve"> </w:t>
      </w:r>
      <w:r w:rsidR="007219F6" w:rsidRPr="00B74333">
        <w:rPr>
          <w:rFonts w:cstheme="minorHAnsi"/>
          <w:lang w:val="el-GR"/>
        </w:rPr>
        <w:t>Ε</w:t>
      </w:r>
      <w:r w:rsidR="007219F6" w:rsidRPr="00B74333">
        <w:rPr>
          <w:rFonts w:cstheme="minorHAnsi"/>
        </w:rPr>
        <w:t>-93/2024</w:t>
      </w:r>
      <w:r w:rsidR="00D47EB3" w:rsidRPr="00B74333">
        <w:rPr>
          <w:rFonts w:cstheme="minorHAnsi"/>
        </w:rPr>
        <w:t>.</w:t>
      </w:r>
    </w:p>
    <w:p w14:paraId="160490A0" w14:textId="68104ED8" w:rsidR="002868A5" w:rsidRPr="00B74333" w:rsidRDefault="00A44A54" w:rsidP="00561442">
      <w:pPr>
        <w:pStyle w:val="ListParagraph"/>
        <w:widowControl w:val="0"/>
        <w:numPr>
          <w:ilvl w:val="0"/>
          <w:numId w:val="19"/>
        </w:numPr>
        <w:suppressAutoHyphens/>
        <w:spacing w:after="120" w:line="360" w:lineRule="auto"/>
        <w:ind w:left="426" w:hanging="284"/>
        <w:jc w:val="both"/>
        <w:rPr>
          <w:rFonts w:cstheme="minorHAnsi"/>
        </w:rPr>
      </w:pPr>
      <w:r w:rsidRPr="00B74333">
        <w:rPr>
          <w:rFonts w:cstheme="minorHAnsi"/>
        </w:rPr>
        <w:t>T</w:t>
      </w:r>
      <w:r w:rsidR="00BF4593" w:rsidRPr="00B74333">
        <w:rPr>
          <w:rFonts w:cstheme="minorHAnsi"/>
        </w:rPr>
        <w:t xml:space="preserve">he </w:t>
      </w:r>
      <w:r w:rsidR="583E3774" w:rsidRPr="00B74333">
        <w:rPr>
          <w:rFonts w:cstheme="minorHAnsi"/>
        </w:rPr>
        <w:t xml:space="preserve">Market Test </w:t>
      </w:r>
      <w:r w:rsidR="00BF4593" w:rsidRPr="00B74333">
        <w:rPr>
          <w:rFonts w:cstheme="minorHAnsi"/>
        </w:rPr>
        <w:t>concerns</w:t>
      </w:r>
      <w:r w:rsidR="00E81BB8" w:rsidRPr="00B74333">
        <w:rPr>
          <w:rFonts w:cstheme="minorHAnsi"/>
        </w:rPr>
        <w:t>:</w:t>
      </w:r>
      <w:r w:rsidR="002868A5" w:rsidRPr="00B74333">
        <w:rPr>
          <w:rFonts w:cstheme="minorHAnsi"/>
        </w:rPr>
        <w:t>  </w:t>
      </w:r>
    </w:p>
    <w:p w14:paraId="482D0312" w14:textId="066DB8D2"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lastRenderedPageBreak/>
        <w:t>Incremental capacity offered jointly by DESFA and BULGARTRANSGAZ at the Kulata/</w:t>
      </w:r>
      <w:r w:rsidR="001535FD" w:rsidRPr="00B74333">
        <w:rPr>
          <w:rStyle w:val="normaltextrun"/>
          <w:rFonts w:asciiTheme="minorHAnsi" w:hAnsiTheme="minorHAnsi" w:cstheme="minorHAnsi"/>
          <w:i/>
          <w:sz w:val="22"/>
          <w:szCs w:val="22"/>
        </w:rPr>
        <w:t xml:space="preserve"> </w:t>
      </w:r>
      <w:r w:rsidRPr="00B74333">
        <w:rPr>
          <w:rStyle w:val="normaltextrun"/>
          <w:rFonts w:asciiTheme="minorHAnsi" w:hAnsiTheme="minorHAnsi" w:cstheme="minorHAnsi"/>
          <w:i/>
          <w:sz w:val="22"/>
          <w:szCs w:val="22"/>
        </w:rPr>
        <w:t>Sidirokastro IP</w:t>
      </w:r>
      <w:r w:rsidR="00990D8D" w:rsidRPr="00B74333">
        <w:rPr>
          <w:rStyle w:val="normaltextrun"/>
          <w:rFonts w:asciiTheme="minorHAnsi" w:hAnsiTheme="minorHAnsi" w:cstheme="minorHAnsi"/>
          <w:i/>
          <w:sz w:val="22"/>
          <w:szCs w:val="22"/>
        </w:rPr>
        <w:t>,</w:t>
      </w:r>
      <w:r w:rsidRPr="00B74333">
        <w:rPr>
          <w:rStyle w:val="normaltextrun"/>
          <w:rFonts w:asciiTheme="minorHAnsi" w:hAnsiTheme="minorHAnsi" w:cstheme="minorHAnsi"/>
          <w:i/>
          <w:sz w:val="22"/>
          <w:szCs w:val="22"/>
        </w:rPr>
        <w:t xml:space="preserve"> as a bundled capacity product, exit DESFA and entry BULGARTRANSGAZ</w:t>
      </w:r>
      <w:r w:rsidR="00A368DF" w:rsidRPr="00B74333">
        <w:rPr>
          <w:rStyle w:val="FootnoteReference"/>
          <w:rFonts w:asciiTheme="minorHAnsi" w:hAnsiTheme="minorHAnsi" w:cstheme="minorHAnsi"/>
          <w:i/>
          <w:sz w:val="22"/>
          <w:szCs w:val="22"/>
        </w:rPr>
        <w:footnoteReference w:id="2"/>
      </w:r>
      <w:r w:rsidRPr="00B74333">
        <w:rPr>
          <w:rStyle w:val="normaltextrun"/>
          <w:rFonts w:asciiTheme="minorHAnsi" w:hAnsiTheme="minorHAnsi" w:cstheme="minorHAnsi"/>
          <w:i/>
          <w:sz w:val="22"/>
          <w:szCs w:val="22"/>
        </w:rPr>
        <w:t>.</w:t>
      </w:r>
      <w:r w:rsidRPr="00B74333">
        <w:rPr>
          <w:rStyle w:val="eop"/>
          <w:rFonts w:asciiTheme="minorHAnsi" w:eastAsiaTheme="majorEastAsia" w:hAnsiTheme="minorHAnsi" w:cstheme="minorHAnsi"/>
          <w:i/>
          <w:sz w:val="22"/>
          <w:szCs w:val="22"/>
        </w:rPr>
        <w:t> </w:t>
      </w:r>
    </w:p>
    <w:p w14:paraId="0CDA9712" w14:textId="4DFA2DE4" w:rsidR="6138C8A2" w:rsidRPr="00B74333" w:rsidRDefault="6138C8A2" w:rsidP="00975210">
      <w:pPr>
        <w:pStyle w:val="paragraph"/>
        <w:numPr>
          <w:ilvl w:val="1"/>
          <w:numId w:val="80"/>
        </w:numPr>
        <w:spacing w:before="0" w:beforeAutospacing="0" w:after="120" w:afterAutospacing="0"/>
        <w:ind w:left="851" w:hanging="284"/>
        <w:jc w:val="both"/>
        <w:rPr>
          <w:rStyle w:val="normaltextrun"/>
          <w:rFonts w:asciiTheme="minorHAnsi" w:hAnsiTheme="minorHAnsi" w:cstheme="minorHAnsi"/>
          <w:i/>
          <w:sz w:val="22"/>
          <w:szCs w:val="22"/>
        </w:rPr>
      </w:pPr>
      <w:r w:rsidRPr="00B74333">
        <w:rPr>
          <w:rStyle w:val="normaltextrun"/>
          <w:rFonts w:asciiTheme="minorHAnsi" w:hAnsiTheme="minorHAnsi" w:cstheme="minorHAnsi"/>
          <w:i/>
          <w:sz w:val="22"/>
          <w:szCs w:val="22"/>
        </w:rPr>
        <w:t>Incremental capacity offered jointly by DESFA and ICGB at Komotini IP</w:t>
      </w:r>
      <w:r w:rsidR="00990D8D" w:rsidRPr="00B74333">
        <w:rPr>
          <w:rStyle w:val="normaltextrun"/>
          <w:rFonts w:asciiTheme="minorHAnsi" w:hAnsiTheme="minorHAnsi" w:cstheme="minorHAnsi"/>
          <w:i/>
          <w:sz w:val="22"/>
          <w:szCs w:val="22"/>
        </w:rPr>
        <w:t>,</w:t>
      </w:r>
      <w:r w:rsidRPr="00B74333">
        <w:rPr>
          <w:rStyle w:val="normaltextrun"/>
          <w:rFonts w:asciiTheme="minorHAnsi" w:hAnsiTheme="minorHAnsi" w:cstheme="minorHAnsi"/>
          <w:i/>
          <w:sz w:val="22"/>
          <w:szCs w:val="22"/>
        </w:rPr>
        <w:t xml:space="preserve"> as a bundled capacity product, exit DESFA and entry IGB</w:t>
      </w:r>
      <w:r w:rsidR="009A3D28" w:rsidRPr="00B74333">
        <w:rPr>
          <w:rStyle w:val="normaltextrun"/>
          <w:rFonts w:asciiTheme="minorHAnsi" w:hAnsiTheme="minorHAnsi" w:cstheme="minorHAnsi"/>
          <w:i/>
          <w:sz w:val="22"/>
          <w:szCs w:val="22"/>
        </w:rPr>
        <w:t>.</w:t>
      </w:r>
      <w:r w:rsidR="00E347E2" w:rsidRPr="00B74333">
        <w:rPr>
          <w:rStyle w:val="FootnoteReference"/>
          <w:rFonts w:asciiTheme="minorHAnsi" w:hAnsiTheme="minorHAnsi" w:cstheme="minorHAnsi"/>
          <w:i/>
          <w:sz w:val="22"/>
          <w:szCs w:val="22"/>
        </w:rPr>
        <w:footnoteReference w:id="3"/>
      </w:r>
    </w:p>
    <w:p w14:paraId="01DBA52E" w14:textId="67EA4A6E"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t>Incremental capacity offered by DESFA at Kipi IP</w:t>
      </w:r>
      <w:r w:rsidR="000C05E9" w:rsidRPr="00B74333">
        <w:rPr>
          <w:rStyle w:val="normaltextrun"/>
          <w:rFonts w:asciiTheme="minorHAnsi" w:hAnsiTheme="minorHAnsi" w:cstheme="minorHAnsi"/>
          <w:i/>
          <w:sz w:val="22"/>
          <w:szCs w:val="22"/>
        </w:rPr>
        <w:t>,</w:t>
      </w:r>
      <w:r w:rsidRPr="00B74333">
        <w:rPr>
          <w:rStyle w:val="normaltextrun"/>
          <w:rFonts w:asciiTheme="minorHAnsi" w:hAnsiTheme="minorHAnsi" w:cstheme="minorHAnsi"/>
          <w:i/>
          <w:sz w:val="22"/>
          <w:szCs w:val="22"/>
        </w:rPr>
        <w:t xml:space="preserve"> as unbundled entry capacity.</w:t>
      </w:r>
      <w:r w:rsidRPr="00B74333">
        <w:rPr>
          <w:rStyle w:val="eop"/>
          <w:rFonts w:asciiTheme="minorHAnsi" w:eastAsiaTheme="majorEastAsia" w:hAnsiTheme="minorHAnsi" w:cstheme="minorHAnsi"/>
          <w:i/>
          <w:sz w:val="22"/>
          <w:szCs w:val="22"/>
        </w:rPr>
        <w:t> </w:t>
      </w:r>
    </w:p>
    <w:p w14:paraId="625C8ECE" w14:textId="79978C9D"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t>Incremental capacity offered by DESFA at Nea Messimvria IP</w:t>
      </w:r>
      <w:r w:rsidR="000C05E9" w:rsidRPr="00B74333">
        <w:rPr>
          <w:rStyle w:val="normaltextrun"/>
          <w:rFonts w:asciiTheme="minorHAnsi" w:hAnsiTheme="minorHAnsi" w:cstheme="minorHAnsi"/>
          <w:i/>
          <w:sz w:val="22"/>
          <w:szCs w:val="22"/>
        </w:rPr>
        <w:t>,</w:t>
      </w:r>
      <w:r w:rsidRPr="00B74333">
        <w:rPr>
          <w:rStyle w:val="normaltextrun"/>
          <w:rFonts w:asciiTheme="minorHAnsi" w:hAnsiTheme="minorHAnsi" w:cstheme="minorHAnsi"/>
          <w:i/>
          <w:sz w:val="22"/>
          <w:szCs w:val="22"/>
        </w:rPr>
        <w:t xml:space="preserve"> as unbundled entry capacity</w:t>
      </w:r>
      <w:r w:rsidR="00485439" w:rsidRPr="00B74333">
        <w:rPr>
          <w:rStyle w:val="normaltextrun"/>
          <w:rFonts w:asciiTheme="minorHAnsi" w:hAnsiTheme="minorHAnsi" w:cstheme="minorHAnsi"/>
          <w:i/>
          <w:sz w:val="22"/>
          <w:szCs w:val="22"/>
        </w:rPr>
        <w:t>.</w:t>
      </w:r>
      <w:r w:rsidR="007A4C4F" w:rsidRPr="00B74333">
        <w:rPr>
          <w:rStyle w:val="FootnoteReference"/>
          <w:rFonts w:asciiTheme="minorHAnsi" w:hAnsiTheme="minorHAnsi" w:cstheme="minorHAnsi"/>
          <w:i/>
          <w:sz w:val="22"/>
          <w:szCs w:val="22"/>
        </w:rPr>
        <w:footnoteReference w:id="4"/>
      </w:r>
      <w:r w:rsidRPr="00B74333">
        <w:rPr>
          <w:rStyle w:val="eop"/>
          <w:rFonts w:asciiTheme="minorHAnsi" w:eastAsiaTheme="majorEastAsia" w:hAnsiTheme="minorHAnsi" w:cstheme="minorHAnsi"/>
          <w:i/>
          <w:sz w:val="22"/>
          <w:szCs w:val="22"/>
        </w:rPr>
        <w:t> </w:t>
      </w:r>
    </w:p>
    <w:p w14:paraId="13DF5E6A" w14:textId="4333D069"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t>Incremental capacity offered by DESFA at Nea Messimvria IP</w:t>
      </w:r>
      <w:r w:rsidR="000C05E9" w:rsidRPr="00B74333">
        <w:rPr>
          <w:rStyle w:val="normaltextrun"/>
          <w:rFonts w:asciiTheme="minorHAnsi" w:hAnsiTheme="minorHAnsi" w:cstheme="minorHAnsi"/>
          <w:i/>
          <w:sz w:val="22"/>
          <w:szCs w:val="22"/>
        </w:rPr>
        <w:t>,</w:t>
      </w:r>
      <w:r w:rsidRPr="00B74333">
        <w:rPr>
          <w:rStyle w:val="normaltextrun"/>
          <w:rFonts w:asciiTheme="minorHAnsi" w:hAnsiTheme="minorHAnsi" w:cstheme="minorHAnsi"/>
          <w:i/>
          <w:sz w:val="22"/>
          <w:szCs w:val="22"/>
        </w:rPr>
        <w:t xml:space="preserve"> as unbundled exit capacity</w:t>
      </w:r>
      <w:r w:rsidR="00485439" w:rsidRPr="00B74333">
        <w:rPr>
          <w:rStyle w:val="normaltextrun"/>
          <w:rFonts w:asciiTheme="minorHAnsi" w:hAnsiTheme="minorHAnsi" w:cstheme="minorHAnsi"/>
          <w:i/>
          <w:sz w:val="22"/>
          <w:szCs w:val="22"/>
        </w:rPr>
        <w:t>.</w:t>
      </w:r>
      <w:r w:rsidR="007A4C4F" w:rsidRPr="00B74333">
        <w:rPr>
          <w:rStyle w:val="FootnoteReference"/>
          <w:rFonts w:asciiTheme="minorHAnsi" w:hAnsiTheme="minorHAnsi" w:cstheme="minorHAnsi"/>
          <w:i/>
          <w:sz w:val="22"/>
          <w:szCs w:val="22"/>
        </w:rPr>
        <w:footnoteReference w:id="5"/>
      </w:r>
      <w:r w:rsidRPr="00B74333">
        <w:rPr>
          <w:rStyle w:val="eop"/>
          <w:rFonts w:asciiTheme="minorHAnsi" w:eastAsiaTheme="majorEastAsia" w:hAnsiTheme="minorHAnsi" w:cstheme="minorHAnsi"/>
          <w:i/>
          <w:sz w:val="22"/>
          <w:szCs w:val="22"/>
        </w:rPr>
        <w:t> </w:t>
      </w:r>
    </w:p>
    <w:p w14:paraId="7B35D05C" w14:textId="72AD0A97"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t>Incremental capacity offered by DESFA at Amfitriti entry point</w:t>
      </w:r>
      <w:r w:rsidR="00FA7E5B" w:rsidRPr="00B74333">
        <w:rPr>
          <w:rStyle w:val="normaltextrun"/>
          <w:rFonts w:asciiTheme="minorHAnsi" w:hAnsiTheme="minorHAnsi" w:cstheme="minorHAnsi"/>
          <w:i/>
          <w:sz w:val="22"/>
          <w:szCs w:val="22"/>
        </w:rPr>
        <w:t xml:space="preserve"> (Alexandroupolis FSRU)</w:t>
      </w:r>
      <w:r w:rsidRPr="00B74333">
        <w:rPr>
          <w:rStyle w:val="normaltextrun"/>
          <w:rFonts w:asciiTheme="minorHAnsi" w:hAnsiTheme="minorHAnsi" w:cstheme="minorHAnsi"/>
          <w:i/>
          <w:sz w:val="22"/>
          <w:szCs w:val="22"/>
        </w:rPr>
        <w:t>, as unbundled entry capacity.</w:t>
      </w:r>
      <w:r w:rsidRPr="00B74333">
        <w:rPr>
          <w:rStyle w:val="eop"/>
          <w:rFonts w:asciiTheme="minorHAnsi" w:eastAsiaTheme="majorEastAsia" w:hAnsiTheme="minorHAnsi" w:cstheme="minorHAnsi"/>
          <w:i/>
          <w:sz w:val="22"/>
          <w:szCs w:val="22"/>
        </w:rPr>
        <w:t> </w:t>
      </w:r>
    </w:p>
    <w:p w14:paraId="5A87610A" w14:textId="66E7CA8D"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t xml:space="preserve">Incremental capacity offered by DESFA at </w:t>
      </w:r>
      <w:r w:rsidR="00841A39" w:rsidRPr="00B74333">
        <w:rPr>
          <w:rStyle w:val="normaltextrun"/>
          <w:rFonts w:asciiTheme="minorHAnsi" w:hAnsiTheme="minorHAnsi" w:cstheme="minorHAnsi"/>
          <w:i/>
          <w:sz w:val="22"/>
          <w:szCs w:val="22"/>
        </w:rPr>
        <w:t xml:space="preserve">prospective </w:t>
      </w:r>
      <w:r w:rsidRPr="00B74333">
        <w:rPr>
          <w:rStyle w:val="normaltextrun"/>
          <w:rFonts w:asciiTheme="minorHAnsi" w:hAnsiTheme="minorHAnsi" w:cstheme="minorHAnsi"/>
          <w:i/>
          <w:sz w:val="22"/>
          <w:szCs w:val="22"/>
        </w:rPr>
        <w:t>entry point Argo FSRU, as unbundled entry capacity</w:t>
      </w:r>
      <w:r w:rsidR="007E38D0" w:rsidRPr="00B74333">
        <w:rPr>
          <w:rStyle w:val="normaltextrun"/>
          <w:rFonts w:asciiTheme="minorHAnsi" w:hAnsiTheme="minorHAnsi" w:cstheme="minorHAnsi"/>
          <w:i/>
          <w:sz w:val="22"/>
          <w:szCs w:val="22"/>
        </w:rPr>
        <w:t>.</w:t>
      </w:r>
      <w:r w:rsidR="001F23C1" w:rsidRPr="00B74333">
        <w:rPr>
          <w:rStyle w:val="FootnoteReference"/>
          <w:rFonts w:asciiTheme="minorHAnsi" w:hAnsiTheme="minorHAnsi" w:cstheme="minorHAnsi"/>
          <w:i/>
          <w:sz w:val="22"/>
          <w:szCs w:val="22"/>
        </w:rPr>
        <w:footnoteReference w:id="6"/>
      </w:r>
      <w:r w:rsidRPr="00B74333">
        <w:rPr>
          <w:rStyle w:val="eop"/>
          <w:rFonts w:asciiTheme="minorHAnsi" w:eastAsiaTheme="majorEastAsia" w:hAnsiTheme="minorHAnsi" w:cstheme="minorHAnsi"/>
          <w:i/>
          <w:sz w:val="22"/>
          <w:szCs w:val="22"/>
        </w:rPr>
        <w:t> </w:t>
      </w:r>
    </w:p>
    <w:p w14:paraId="16A2B425" w14:textId="587DF321" w:rsidR="002868A5" w:rsidRPr="00B74333" w:rsidRDefault="002868A5" w:rsidP="00975210">
      <w:pPr>
        <w:pStyle w:val="paragraph"/>
        <w:numPr>
          <w:ilvl w:val="1"/>
          <w:numId w:val="80"/>
        </w:numPr>
        <w:spacing w:before="0" w:beforeAutospacing="0" w:after="120" w:afterAutospacing="0"/>
        <w:ind w:left="851" w:hanging="284"/>
        <w:jc w:val="both"/>
        <w:textAlignment w:val="baseline"/>
        <w:rPr>
          <w:rFonts w:asciiTheme="minorHAnsi" w:hAnsiTheme="minorHAnsi" w:cstheme="minorHAnsi"/>
          <w:i/>
          <w:sz w:val="22"/>
          <w:szCs w:val="22"/>
        </w:rPr>
      </w:pPr>
      <w:r w:rsidRPr="00B74333">
        <w:rPr>
          <w:rStyle w:val="normaltextrun"/>
          <w:rFonts w:asciiTheme="minorHAnsi" w:hAnsiTheme="minorHAnsi" w:cstheme="minorHAnsi"/>
          <w:i/>
          <w:sz w:val="22"/>
          <w:szCs w:val="22"/>
        </w:rPr>
        <w:t>Incremental capacity offered by DESFA at prospective entry point Elpedison FSRU as unbundled entry capacity</w:t>
      </w:r>
      <w:r w:rsidR="007E38D0" w:rsidRPr="00B74333">
        <w:rPr>
          <w:rStyle w:val="normaltextrun"/>
          <w:rFonts w:asciiTheme="minorHAnsi" w:hAnsiTheme="minorHAnsi" w:cstheme="minorHAnsi"/>
          <w:i/>
          <w:sz w:val="22"/>
          <w:szCs w:val="22"/>
        </w:rPr>
        <w:t>.</w:t>
      </w:r>
      <w:r w:rsidR="00AB3589" w:rsidRPr="00B74333">
        <w:rPr>
          <w:rStyle w:val="FootnoteReference"/>
          <w:rFonts w:asciiTheme="minorHAnsi" w:hAnsiTheme="minorHAnsi" w:cstheme="minorHAnsi"/>
          <w:i/>
          <w:sz w:val="22"/>
          <w:szCs w:val="22"/>
        </w:rPr>
        <w:footnoteReference w:id="7"/>
      </w:r>
    </w:p>
    <w:p w14:paraId="0749277D" w14:textId="7C220F6E" w:rsidR="002868A5" w:rsidRPr="00B74333" w:rsidRDefault="002868A5" w:rsidP="00975210">
      <w:pPr>
        <w:pStyle w:val="paragraph"/>
        <w:numPr>
          <w:ilvl w:val="1"/>
          <w:numId w:val="80"/>
        </w:numPr>
        <w:spacing w:before="0" w:beforeAutospacing="0" w:after="120" w:afterAutospacing="0"/>
        <w:ind w:left="851" w:hanging="284"/>
        <w:jc w:val="both"/>
        <w:textAlignment w:val="baseline"/>
        <w:rPr>
          <w:rStyle w:val="eop"/>
          <w:rFonts w:asciiTheme="minorHAnsi" w:hAnsiTheme="minorHAnsi" w:cstheme="minorHAnsi"/>
          <w:sz w:val="22"/>
          <w:szCs w:val="22"/>
        </w:rPr>
      </w:pPr>
      <w:r w:rsidRPr="00B74333">
        <w:rPr>
          <w:rStyle w:val="normaltextrun"/>
          <w:rFonts w:asciiTheme="minorHAnsi" w:hAnsiTheme="minorHAnsi" w:cstheme="minorHAnsi"/>
          <w:i/>
          <w:sz w:val="22"/>
          <w:szCs w:val="22"/>
        </w:rPr>
        <w:t xml:space="preserve">Incremental capacity offered by DESFA at prospective entry point </w:t>
      </w:r>
      <w:r w:rsidR="00561442" w:rsidRPr="00B74333">
        <w:rPr>
          <w:rStyle w:val="normaltextrun"/>
          <w:rFonts w:asciiTheme="minorHAnsi" w:hAnsiTheme="minorHAnsi" w:cstheme="minorHAnsi"/>
          <w:i/>
          <w:sz w:val="22"/>
          <w:szCs w:val="22"/>
        </w:rPr>
        <w:t>Dioryga</w:t>
      </w:r>
      <w:r w:rsidRPr="00B74333">
        <w:rPr>
          <w:rStyle w:val="normaltextrun"/>
          <w:rFonts w:asciiTheme="minorHAnsi" w:hAnsiTheme="minorHAnsi" w:cstheme="minorHAnsi"/>
          <w:i/>
          <w:sz w:val="22"/>
          <w:szCs w:val="22"/>
        </w:rPr>
        <w:t xml:space="preserve"> Gas FSRU as unbundled entry capacity</w:t>
      </w:r>
      <w:r w:rsidR="007E38D0" w:rsidRPr="00B74333">
        <w:rPr>
          <w:rStyle w:val="normaltextrun"/>
          <w:rFonts w:asciiTheme="minorHAnsi" w:hAnsiTheme="minorHAnsi" w:cstheme="minorHAnsi"/>
          <w:i/>
          <w:sz w:val="22"/>
          <w:szCs w:val="22"/>
        </w:rPr>
        <w:t>.</w:t>
      </w:r>
      <w:r w:rsidR="00140603" w:rsidRPr="00B74333">
        <w:rPr>
          <w:rStyle w:val="FootnoteReference"/>
          <w:rFonts w:asciiTheme="minorHAnsi" w:hAnsiTheme="minorHAnsi" w:cstheme="minorHAnsi"/>
          <w:sz w:val="22"/>
          <w:szCs w:val="22"/>
        </w:rPr>
        <w:footnoteReference w:id="8"/>
      </w:r>
      <w:r w:rsidRPr="00B74333">
        <w:rPr>
          <w:rStyle w:val="eop"/>
          <w:rFonts w:asciiTheme="minorHAnsi" w:eastAsiaTheme="majorEastAsia" w:hAnsiTheme="minorHAnsi" w:cstheme="minorHAnsi"/>
          <w:sz w:val="22"/>
          <w:szCs w:val="22"/>
        </w:rPr>
        <w:t> </w:t>
      </w:r>
    </w:p>
    <w:p w14:paraId="3A5E2312" w14:textId="77777777" w:rsidR="00810233" w:rsidRPr="00B74333" w:rsidRDefault="00B60E83" w:rsidP="00664157">
      <w:pPr>
        <w:pStyle w:val="ListParagraph"/>
        <w:widowControl w:val="0"/>
        <w:numPr>
          <w:ilvl w:val="0"/>
          <w:numId w:val="19"/>
        </w:numPr>
        <w:suppressAutoHyphens/>
        <w:spacing w:after="120" w:line="360" w:lineRule="auto"/>
        <w:ind w:left="426" w:hanging="284"/>
        <w:jc w:val="both"/>
        <w:rPr>
          <w:rStyle w:val="normaltextrun"/>
          <w:rFonts w:cstheme="minorHAnsi"/>
          <w:color w:val="000000" w:themeColor="text1"/>
        </w:rPr>
      </w:pPr>
      <w:r w:rsidRPr="00B74333">
        <w:rPr>
          <w:rStyle w:val="ui-provider"/>
          <w:rFonts w:cstheme="minorHAnsi"/>
        </w:rPr>
        <w:t>The Guidelines contain all necessary information about the binding phase of the Market Test, taking into account</w:t>
      </w:r>
      <w:r w:rsidR="007F461B" w:rsidRPr="00B74333">
        <w:rPr>
          <w:rStyle w:val="ui-provider"/>
          <w:rFonts w:cstheme="minorHAnsi"/>
        </w:rPr>
        <w:t>,</w:t>
      </w:r>
      <w:r w:rsidRPr="00B74333">
        <w:rPr>
          <w:rStyle w:val="ui-provider"/>
          <w:rFonts w:cstheme="minorHAnsi"/>
        </w:rPr>
        <w:t xml:space="preserve"> among others</w:t>
      </w:r>
      <w:r w:rsidR="007F461B" w:rsidRPr="00B74333">
        <w:rPr>
          <w:rStyle w:val="ui-provider"/>
          <w:rFonts w:cstheme="minorHAnsi"/>
        </w:rPr>
        <w:t>,</w:t>
      </w:r>
      <w:r w:rsidRPr="00B74333">
        <w:rPr>
          <w:rStyle w:val="ui-provider"/>
          <w:rFonts w:cstheme="minorHAnsi"/>
        </w:rPr>
        <w:t xml:space="preserve"> that the incremental capacity that will be allocated at the IP’s Kipi and Nea Mesimvria as well as the entry or exit points of the DESFA System may affect the </w:t>
      </w:r>
      <w:r w:rsidRPr="00B74333">
        <w:rPr>
          <w:rStyle w:val="normaltextrun"/>
          <w:rFonts w:cstheme="minorHAnsi"/>
          <w:color w:val="000000" w:themeColor="text1"/>
        </w:rPr>
        <w:lastRenderedPageBreak/>
        <w:t>amount of capacity allocated at the IP Kulata/ Sidirokastro and the IP Komotini in the context of the Incremental Capacity Processes opened with adjacent TSO’s, namely B</w:t>
      </w:r>
      <w:r w:rsidR="00C215E7" w:rsidRPr="00B74333">
        <w:rPr>
          <w:rStyle w:val="normaltextrun"/>
          <w:rFonts w:cstheme="minorHAnsi"/>
          <w:color w:val="000000" w:themeColor="text1"/>
        </w:rPr>
        <w:t>ULGA</w:t>
      </w:r>
      <w:r w:rsidR="00F74AD4" w:rsidRPr="00B74333">
        <w:rPr>
          <w:rStyle w:val="normaltextrun"/>
          <w:rFonts w:cstheme="minorHAnsi"/>
          <w:color w:val="000000" w:themeColor="text1"/>
        </w:rPr>
        <w:t>RTRANSGAZ</w:t>
      </w:r>
      <w:r w:rsidRPr="00B74333">
        <w:rPr>
          <w:rStyle w:val="normaltextrun"/>
          <w:rFonts w:cstheme="minorHAnsi"/>
          <w:color w:val="000000" w:themeColor="text1"/>
        </w:rPr>
        <w:t xml:space="preserve"> and ICGB. </w:t>
      </w:r>
    </w:p>
    <w:p w14:paraId="460DBB32" w14:textId="31D4DC3D" w:rsidR="008A515E" w:rsidRPr="00B74333" w:rsidRDefault="00B60E83" w:rsidP="00664157">
      <w:pPr>
        <w:pStyle w:val="ListParagraph"/>
        <w:widowControl w:val="0"/>
        <w:numPr>
          <w:ilvl w:val="0"/>
          <w:numId w:val="19"/>
        </w:numPr>
        <w:suppressAutoHyphens/>
        <w:spacing w:after="120" w:line="360" w:lineRule="auto"/>
        <w:ind w:left="426" w:hanging="284"/>
        <w:jc w:val="both"/>
        <w:rPr>
          <w:rStyle w:val="normaltextrun"/>
          <w:rFonts w:cstheme="minorHAnsi"/>
          <w:color w:val="000000" w:themeColor="text1"/>
        </w:rPr>
      </w:pPr>
      <w:r w:rsidRPr="00B74333">
        <w:rPr>
          <w:rStyle w:val="normaltextrun"/>
          <w:rFonts w:cstheme="minorHAnsi"/>
          <w:color w:val="000000" w:themeColor="text1"/>
        </w:rPr>
        <w:t xml:space="preserve">The </w:t>
      </w:r>
      <w:r w:rsidR="003129AF" w:rsidRPr="00B74333">
        <w:rPr>
          <w:rStyle w:val="normaltextrun"/>
          <w:rFonts w:cstheme="minorHAnsi"/>
          <w:color w:val="000000" w:themeColor="text1"/>
        </w:rPr>
        <w:t xml:space="preserve">infrastructure </w:t>
      </w:r>
      <w:r w:rsidRPr="00B74333">
        <w:rPr>
          <w:rStyle w:val="normaltextrun"/>
          <w:rFonts w:cstheme="minorHAnsi"/>
          <w:color w:val="000000" w:themeColor="text1"/>
        </w:rPr>
        <w:t>upgrades</w:t>
      </w:r>
      <w:r w:rsidR="008548A7" w:rsidRPr="00B74333">
        <w:rPr>
          <w:rStyle w:val="normaltextrun"/>
          <w:rFonts w:cstheme="minorHAnsi"/>
          <w:color w:val="000000" w:themeColor="text1"/>
        </w:rPr>
        <w:t xml:space="preserve"> (expansion levels)</w:t>
      </w:r>
      <w:r w:rsidRPr="00B74333">
        <w:rPr>
          <w:rStyle w:val="normaltextrun"/>
          <w:rFonts w:cstheme="minorHAnsi"/>
          <w:color w:val="000000" w:themeColor="text1"/>
        </w:rPr>
        <w:t xml:space="preserve">, the offer levels, the binding bid submission rules as well as the Economic Viability Test related to DESFA are provided for in the Guidelines and should be considered in the context of the </w:t>
      </w:r>
      <w:proofErr w:type="gramStart"/>
      <w:r w:rsidRPr="00B74333">
        <w:rPr>
          <w:rStyle w:val="normaltextrun"/>
          <w:rFonts w:cstheme="minorHAnsi"/>
          <w:color w:val="000000" w:themeColor="text1"/>
        </w:rPr>
        <w:t>aforementioned processes</w:t>
      </w:r>
      <w:proofErr w:type="gramEnd"/>
      <w:r w:rsidRPr="00B74333">
        <w:rPr>
          <w:rStyle w:val="normaltextrun"/>
          <w:rFonts w:cstheme="minorHAnsi"/>
          <w:color w:val="000000" w:themeColor="text1"/>
        </w:rPr>
        <w:t xml:space="preserve">. For DESFA, the incremental capacity projects described in the Project Proposals with </w:t>
      </w:r>
      <w:r w:rsidR="00F74AD4" w:rsidRPr="00B74333">
        <w:rPr>
          <w:rStyle w:val="normaltextrun"/>
          <w:rFonts w:cstheme="minorHAnsi"/>
          <w:color w:val="000000" w:themeColor="text1"/>
        </w:rPr>
        <w:t>BULGARTRANSGAZ</w:t>
      </w:r>
      <w:r w:rsidRPr="00B74333">
        <w:rPr>
          <w:rStyle w:val="normaltextrun"/>
          <w:rFonts w:cstheme="minorHAnsi"/>
          <w:color w:val="000000" w:themeColor="text1"/>
        </w:rPr>
        <w:t xml:space="preserve"> and ICGB are identical to those in the context of the </w:t>
      </w:r>
      <w:r w:rsidR="00480DBD" w:rsidRPr="00B74333">
        <w:rPr>
          <w:rStyle w:val="normaltextrun"/>
          <w:rFonts w:cstheme="minorHAnsi"/>
          <w:color w:val="000000" w:themeColor="text1"/>
        </w:rPr>
        <w:t>Market Test</w:t>
      </w:r>
      <w:r w:rsidRPr="00B74333">
        <w:rPr>
          <w:rStyle w:val="normaltextrun"/>
          <w:rFonts w:cstheme="minorHAnsi"/>
          <w:color w:val="000000" w:themeColor="text1"/>
        </w:rPr>
        <w:t xml:space="preserve"> and if implemented will increase the technical capacity at the interconnection points of the relevant Project Proposals and other entry points of DESFA System, as described </w:t>
      </w:r>
      <w:r w:rsidR="00D9363E" w:rsidRPr="00B74333">
        <w:rPr>
          <w:rStyle w:val="normaltextrun"/>
          <w:rFonts w:cstheme="minorHAnsi"/>
          <w:color w:val="000000" w:themeColor="text1"/>
        </w:rPr>
        <w:t>in the Guidelines</w:t>
      </w:r>
      <w:r w:rsidRPr="00B74333">
        <w:rPr>
          <w:rStyle w:val="normaltextrun"/>
          <w:rFonts w:cstheme="minorHAnsi"/>
          <w:color w:val="000000" w:themeColor="text1"/>
        </w:rPr>
        <w:t xml:space="preserve">. For this reason, DESFA’s binding phase of the Market Test will take place simultaneously with the binding phase of the Incremental Capacity Processes after the CAM NC Yearly Capacity Auctions, in line with the timeline of </w:t>
      </w:r>
      <w:r w:rsidR="00471643" w:rsidRPr="00B74333">
        <w:rPr>
          <w:rStyle w:val="normaltextrun"/>
          <w:rFonts w:cstheme="minorHAnsi"/>
          <w:color w:val="000000" w:themeColor="text1"/>
        </w:rPr>
        <w:t>Article</w:t>
      </w:r>
      <w:r w:rsidRPr="00B74333">
        <w:rPr>
          <w:rStyle w:val="normaltextrun"/>
          <w:rFonts w:cstheme="minorHAnsi"/>
          <w:color w:val="000000" w:themeColor="text1"/>
        </w:rPr>
        <w:t xml:space="preserve"> 4.</w:t>
      </w:r>
    </w:p>
    <w:p w14:paraId="301B463D" w14:textId="77777777" w:rsidR="00DC316C" w:rsidRPr="00B74333" w:rsidRDefault="00DC316C" w:rsidP="00664157">
      <w:pPr>
        <w:pStyle w:val="ListParagraph"/>
        <w:widowControl w:val="0"/>
        <w:suppressAutoHyphens/>
        <w:spacing w:after="120" w:line="360" w:lineRule="auto"/>
        <w:ind w:left="426"/>
        <w:jc w:val="both"/>
        <w:rPr>
          <w:rStyle w:val="normaltextrun"/>
          <w:rFonts w:cstheme="minorHAnsi"/>
          <w:color w:val="000000" w:themeColor="text1"/>
        </w:rPr>
      </w:pPr>
      <w:bookmarkStart w:id="4" w:name="_Toc28009883"/>
      <w:bookmarkStart w:id="5" w:name="_Toc37333751"/>
    </w:p>
    <w:p w14:paraId="21626662" w14:textId="0AE53581" w:rsidR="00DC316C" w:rsidRPr="00B74333" w:rsidRDefault="003D5005" w:rsidP="009553BC">
      <w:pPr>
        <w:pStyle w:val="Heading1"/>
        <w:spacing w:after="160"/>
      </w:pPr>
      <w:bookmarkStart w:id="6" w:name="_Toc58000398"/>
      <w:bookmarkStart w:id="7" w:name="_Toc71289523"/>
      <w:bookmarkStart w:id="8" w:name="_Toc165465554"/>
      <w:r w:rsidRPr="00B74333">
        <w:t xml:space="preserve">Article </w:t>
      </w:r>
      <w:r w:rsidR="00423E48" w:rsidRPr="00B74333">
        <w:t>1</w:t>
      </w:r>
      <w:r w:rsidRPr="00B74333">
        <w:t xml:space="preserve"> </w:t>
      </w:r>
      <w:r w:rsidR="00766422" w:rsidRPr="00B74333">
        <w:t>-</w:t>
      </w:r>
      <w:r w:rsidRPr="00B74333">
        <w:t xml:space="preserve"> </w:t>
      </w:r>
      <w:r w:rsidR="00DC316C" w:rsidRPr="00B74333">
        <w:t>Definitions</w:t>
      </w:r>
      <w:bookmarkEnd w:id="6"/>
      <w:bookmarkEnd w:id="7"/>
      <w:r w:rsidR="00AA28AC" w:rsidRPr="00B74333">
        <w:t>,</w:t>
      </w:r>
      <w:r w:rsidR="007D0176" w:rsidRPr="00B74333">
        <w:t xml:space="preserve"> </w:t>
      </w:r>
      <w:proofErr w:type="gramStart"/>
      <w:r w:rsidR="00AA28AC" w:rsidRPr="00B74333">
        <w:t>interpretation</w:t>
      </w:r>
      <w:proofErr w:type="gramEnd"/>
      <w:r w:rsidR="00AA28AC" w:rsidRPr="00B74333">
        <w:t xml:space="preserve"> and references</w:t>
      </w:r>
      <w:bookmarkEnd w:id="8"/>
    </w:p>
    <w:p w14:paraId="256C5332" w14:textId="17588A1D" w:rsidR="002C05E9" w:rsidRPr="00B74333" w:rsidRDefault="002C05E9" w:rsidP="00E162E0">
      <w:pPr>
        <w:pStyle w:val="ListParagraph"/>
        <w:widowControl w:val="0"/>
        <w:numPr>
          <w:ilvl w:val="1"/>
          <w:numId w:val="36"/>
        </w:numPr>
        <w:suppressAutoHyphens/>
        <w:spacing w:after="120" w:line="360" w:lineRule="auto"/>
        <w:ind w:left="426" w:hanging="568"/>
        <w:jc w:val="both"/>
        <w:rPr>
          <w:rFonts w:cstheme="minorHAnsi"/>
        </w:rPr>
      </w:pPr>
      <w:r w:rsidRPr="00B74333">
        <w:rPr>
          <w:rFonts w:cstheme="minorHAnsi"/>
        </w:rPr>
        <w:t>The following terms, when used in this Binding Phase Notice (hereinafter “the Binding Phase Notice” or “the Notice”), including its Annexes, shall have the following meaning:</w:t>
      </w:r>
    </w:p>
    <w:p w14:paraId="194ACA91" w14:textId="1E54CC78" w:rsidR="002C05E9" w:rsidRPr="00B74333" w:rsidRDefault="002C05E9" w:rsidP="002C05E9">
      <w:pPr>
        <w:pStyle w:val="ListParagraph"/>
        <w:widowControl w:val="0"/>
        <w:suppressAutoHyphens/>
        <w:spacing w:after="120" w:line="360" w:lineRule="auto"/>
        <w:ind w:left="426"/>
        <w:jc w:val="both"/>
        <w:rPr>
          <w:rFonts w:cstheme="minorHAnsi"/>
        </w:rPr>
      </w:pPr>
      <w:r w:rsidRPr="00B74333">
        <w:rPr>
          <w:rFonts w:cstheme="minorHAnsi"/>
          <w:b/>
          <w:bCs/>
        </w:rPr>
        <w:t>“Market Test Process”</w:t>
      </w:r>
      <w:r w:rsidRPr="00B74333">
        <w:rPr>
          <w:rFonts w:cstheme="minorHAnsi"/>
        </w:rPr>
        <w:t xml:space="preserve"> means the procedure launched for the allocation of incremental capacity according to the Guidelines and the Binding Phase Notice as well as the Project Proposals and the Joint Notices. </w:t>
      </w:r>
    </w:p>
    <w:p w14:paraId="749D9418" w14:textId="010D9367" w:rsidR="002C05E9" w:rsidRPr="00B74333" w:rsidRDefault="002C05E9" w:rsidP="00975210">
      <w:pPr>
        <w:pStyle w:val="ListParagraph"/>
        <w:widowControl w:val="0"/>
        <w:suppressAutoHyphens/>
        <w:spacing w:after="120" w:line="360" w:lineRule="auto"/>
        <w:ind w:left="426"/>
        <w:jc w:val="both"/>
        <w:rPr>
          <w:rFonts w:cstheme="minorHAnsi"/>
        </w:rPr>
      </w:pPr>
      <w:r w:rsidRPr="00B74333">
        <w:rPr>
          <w:rFonts w:cstheme="minorHAnsi"/>
          <w:b/>
        </w:rPr>
        <w:t>“Project Proposals"</w:t>
      </w:r>
      <w:r w:rsidRPr="00B74333">
        <w:rPr>
          <w:rFonts w:cstheme="minorHAnsi"/>
        </w:rPr>
        <w:t xml:space="preserve"> means the project proposals for incremental capacity submitted by </w:t>
      </w:r>
      <w:r w:rsidR="00787470" w:rsidRPr="00B74333">
        <w:rPr>
          <w:rFonts w:cstheme="minorHAnsi"/>
        </w:rPr>
        <w:t xml:space="preserve">BULGARTRANSGAZ and ICGB </w:t>
      </w:r>
      <w:r w:rsidRPr="00B74333">
        <w:rPr>
          <w:rFonts w:cstheme="minorHAnsi"/>
        </w:rPr>
        <w:t>and</w:t>
      </w:r>
      <w:r w:rsidR="00787470" w:rsidRPr="00B74333">
        <w:rPr>
          <w:rFonts w:cstheme="minorHAnsi"/>
        </w:rPr>
        <w:t xml:space="preserve"> </w:t>
      </w:r>
      <w:r w:rsidR="003B4C9A" w:rsidRPr="00B74333">
        <w:rPr>
          <w:rFonts w:cstheme="minorHAnsi"/>
        </w:rPr>
        <w:t xml:space="preserve">approved </w:t>
      </w:r>
      <w:r w:rsidR="00787470" w:rsidRPr="00B74333">
        <w:rPr>
          <w:rFonts w:cstheme="minorHAnsi"/>
        </w:rPr>
        <w:t xml:space="preserve">by the Hellenic Regulatory Authority for Energy, Waste &amp; Water (RAEWW) by its Decision </w:t>
      </w:r>
      <w:proofErr w:type="spellStart"/>
      <w:r w:rsidR="00787470" w:rsidRPr="00B74333">
        <w:rPr>
          <w:rFonts w:cstheme="minorHAnsi"/>
        </w:rPr>
        <w:t>Νo</w:t>
      </w:r>
      <w:proofErr w:type="spellEnd"/>
      <w:r w:rsidR="000D4978" w:rsidRPr="00B74333">
        <w:rPr>
          <w:rFonts w:cstheme="minorHAnsi"/>
        </w:rPr>
        <w:t>.</w:t>
      </w:r>
      <w:r w:rsidR="00787470" w:rsidRPr="00B74333">
        <w:rPr>
          <w:rFonts w:cstheme="minorHAnsi"/>
        </w:rPr>
        <w:t xml:space="preserve"> Ε-94/2024 and Decision </w:t>
      </w:r>
      <w:proofErr w:type="spellStart"/>
      <w:r w:rsidR="00787470" w:rsidRPr="00B74333">
        <w:rPr>
          <w:rFonts w:cstheme="minorHAnsi"/>
        </w:rPr>
        <w:t>Νo</w:t>
      </w:r>
      <w:proofErr w:type="spellEnd"/>
      <w:r w:rsidR="000D4978" w:rsidRPr="00B74333">
        <w:rPr>
          <w:rFonts w:cstheme="minorHAnsi"/>
        </w:rPr>
        <w:t>.</w:t>
      </w:r>
      <w:r w:rsidR="00787470" w:rsidRPr="00B74333">
        <w:rPr>
          <w:rFonts w:cstheme="minorHAnsi"/>
        </w:rPr>
        <w:t xml:space="preserve"> Ε-95/2024 respectively and by the Energy and Water Regulatory Commission of Bulgaria (EWRC) by its Decision </w:t>
      </w:r>
      <w:proofErr w:type="spellStart"/>
      <w:r w:rsidR="00787470" w:rsidRPr="00B74333">
        <w:rPr>
          <w:rFonts w:cstheme="minorHAnsi"/>
        </w:rPr>
        <w:t>Νo</w:t>
      </w:r>
      <w:proofErr w:type="spellEnd"/>
      <w:r w:rsidR="000D4978" w:rsidRPr="00B74333">
        <w:rPr>
          <w:rFonts w:cstheme="minorHAnsi"/>
        </w:rPr>
        <w:t>.</w:t>
      </w:r>
      <w:r w:rsidR="00787470" w:rsidRPr="00B74333">
        <w:rPr>
          <w:rFonts w:cstheme="minorHAnsi"/>
        </w:rPr>
        <w:t xml:space="preserve"> ПДК-4/26.04.2024 and Decision </w:t>
      </w:r>
      <w:proofErr w:type="spellStart"/>
      <w:r w:rsidR="00787470" w:rsidRPr="00B74333">
        <w:rPr>
          <w:rFonts w:cstheme="minorHAnsi"/>
        </w:rPr>
        <w:t>Νo</w:t>
      </w:r>
      <w:proofErr w:type="spellEnd"/>
      <w:r w:rsidR="000D4978" w:rsidRPr="00B74333">
        <w:rPr>
          <w:rFonts w:cstheme="minorHAnsi"/>
          <w:lang w:val="el-GR"/>
        </w:rPr>
        <w:t>.</w:t>
      </w:r>
      <w:r w:rsidR="00787470" w:rsidRPr="00B74333">
        <w:rPr>
          <w:rFonts w:cstheme="minorHAnsi"/>
        </w:rPr>
        <w:t xml:space="preserve"> PDC–1/26.04.2024 respectively</w:t>
      </w:r>
      <w:r w:rsidRPr="00B74333">
        <w:rPr>
          <w:rFonts w:cstheme="minorHAnsi"/>
        </w:rPr>
        <w:t>.</w:t>
      </w:r>
    </w:p>
    <w:p w14:paraId="56FE775F" w14:textId="26F2711E" w:rsidR="007E1C00" w:rsidRPr="00B74333" w:rsidRDefault="00DC316C" w:rsidP="00E162E0">
      <w:pPr>
        <w:pStyle w:val="ListParagraph"/>
        <w:widowControl w:val="0"/>
        <w:numPr>
          <w:ilvl w:val="1"/>
          <w:numId w:val="36"/>
        </w:numPr>
        <w:suppressAutoHyphens/>
        <w:spacing w:after="120" w:line="360" w:lineRule="auto"/>
        <w:ind w:left="426" w:hanging="568"/>
        <w:jc w:val="both"/>
        <w:rPr>
          <w:rFonts w:cstheme="minorHAnsi"/>
        </w:rPr>
      </w:pPr>
      <w:r w:rsidRPr="00B74333">
        <w:rPr>
          <w:rFonts w:cstheme="minorHAnsi"/>
        </w:rPr>
        <w:t xml:space="preserve">All capitalized terms in this </w:t>
      </w:r>
      <w:bookmarkStart w:id="9" w:name="_Hlk163743645"/>
      <w:r w:rsidR="002F1356" w:rsidRPr="00B74333">
        <w:rPr>
          <w:rFonts w:cstheme="minorHAnsi"/>
        </w:rPr>
        <w:t xml:space="preserve">Binding Phase </w:t>
      </w:r>
      <w:r w:rsidRPr="00B74333">
        <w:rPr>
          <w:rFonts w:cstheme="minorHAnsi"/>
        </w:rPr>
        <w:t>Notice</w:t>
      </w:r>
      <w:bookmarkEnd w:id="9"/>
      <w:r w:rsidR="004D218C" w:rsidRPr="00B74333">
        <w:rPr>
          <w:rFonts w:cstheme="minorHAnsi"/>
        </w:rPr>
        <w:t>, unless otherwise stipulated herein, shall</w:t>
      </w:r>
      <w:r w:rsidRPr="00B74333">
        <w:rPr>
          <w:rFonts w:cstheme="minorHAnsi"/>
        </w:rPr>
        <w:t xml:space="preserve"> have the meaning provided for in the </w:t>
      </w:r>
      <w:r w:rsidR="005308D7" w:rsidRPr="00B74333">
        <w:rPr>
          <w:rFonts w:cstheme="minorHAnsi"/>
        </w:rPr>
        <w:t>Guidelines</w:t>
      </w:r>
      <w:r w:rsidR="00EE7D92" w:rsidRPr="00B74333">
        <w:rPr>
          <w:rFonts w:cstheme="minorHAnsi"/>
        </w:rPr>
        <w:t xml:space="preserve"> </w:t>
      </w:r>
      <w:r w:rsidRPr="00B74333">
        <w:rPr>
          <w:rFonts w:cstheme="minorHAnsi"/>
        </w:rPr>
        <w:t>and the</w:t>
      </w:r>
      <w:r w:rsidR="003D3AE0" w:rsidRPr="00B74333">
        <w:rPr>
          <w:rFonts w:cstheme="minorHAnsi"/>
        </w:rPr>
        <w:t xml:space="preserve"> </w:t>
      </w:r>
      <w:r w:rsidR="00947852" w:rsidRPr="00B74333">
        <w:rPr>
          <w:rFonts w:cstheme="minorHAnsi"/>
        </w:rPr>
        <w:t xml:space="preserve">Form of Gas Transportation Agreement </w:t>
      </w:r>
      <w:r w:rsidR="00B50298" w:rsidRPr="00B74333">
        <w:rPr>
          <w:rFonts w:cstheme="minorHAnsi"/>
        </w:rPr>
        <w:t xml:space="preserve">as </w:t>
      </w:r>
      <w:r w:rsidR="00947852" w:rsidRPr="00B74333">
        <w:rPr>
          <w:rFonts w:cstheme="minorHAnsi"/>
        </w:rPr>
        <w:t xml:space="preserve">approved </w:t>
      </w:r>
      <w:r w:rsidR="00D35484" w:rsidRPr="00B74333">
        <w:rPr>
          <w:rFonts w:cstheme="minorHAnsi"/>
        </w:rPr>
        <w:t>by</w:t>
      </w:r>
      <w:r w:rsidR="00947852" w:rsidRPr="00B74333">
        <w:rPr>
          <w:rFonts w:cstheme="minorHAnsi"/>
        </w:rPr>
        <w:t xml:space="preserve"> </w:t>
      </w:r>
      <w:r w:rsidR="00CD5B50" w:rsidRPr="00B74333">
        <w:rPr>
          <w:rFonts w:cstheme="minorHAnsi"/>
        </w:rPr>
        <w:t>RA</w:t>
      </w:r>
      <w:r w:rsidR="00EE7D92" w:rsidRPr="00B74333">
        <w:rPr>
          <w:rFonts w:cstheme="minorHAnsi"/>
        </w:rPr>
        <w:t>EW</w:t>
      </w:r>
      <w:r w:rsidR="00CD5B50" w:rsidRPr="00B74333">
        <w:rPr>
          <w:rFonts w:cstheme="minorHAnsi"/>
        </w:rPr>
        <w:t>W</w:t>
      </w:r>
      <w:r w:rsidR="007538C4" w:rsidRPr="00B74333">
        <w:rPr>
          <w:rStyle w:val="FootnoteReference"/>
          <w:rFonts w:cstheme="minorHAnsi"/>
        </w:rPr>
        <w:footnoteReference w:id="9"/>
      </w:r>
      <w:r w:rsidR="007538C4" w:rsidRPr="00B74333">
        <w:rPr>
          <w:rFonts w:cstheme="minorHAnsi"/>
        </w:rPr>
        <w:t xml:space="preserve"> </w:t>
      </w:r>
      <w:r w:rsidR="003D3AE0" w:rsidRPr="00B74333">
        <w:rPr>
          <w:rFonts w:cstheme="minorHAnsi"/>
        </w:rPr>
        <w:t xml:space="preserve"> (Annex </w:t>
      </w:r>
      <w:r w:rsidR="00337F08" w:rsidRPr="00B74333">
        <w:rPr>
          <w:rFonts w:cstheme="minorHAnsi"/>
        </w:rPr>
        <w:t>VI</w:t>
      </w:r>
      <w:r w:rsidR="004177DC" w:rsidRPr="00B74333">
        <w:rPr>
          <w:rFonts w:cstheme="minorHAnsi"/>
        </w:rPr>
        <w:t>I</w:t>
      </w:r>
      <w:r w:rsidR="003D3AE0" w:rsidRPr="00B74333">
        <w:rPr>
          <w:rFonts w:cstheme="minorHAnsi"/>
        </w:rPr>
        <w:t>)</w:t>
      </w:r>
      <w:r w:rsidR="009A30A6" w:rsidRPr="00B74333">
        <w:rPr>
          <w:rFonts w:cstheme="minorHAnsi"/>
        </w:rPr>
        <w:t xml:space="preserve"> and </w:t>
      </w:r>
      <w:r w:rsidR="003222CB" w:rsidRPr="00B74333">
        <w:rPr>
          <w:rFonts w:cstheme="minorHAnsi"/>
        </w:rPr>
        <w:t xml:space="preserve">in </w:t>
      </w:r>
      <w:r w:rsidR="009A30A6" w:rsidRPr="00B74333">
        <w:rPr>
          <w:rFonts w:cstheme="minorHAnsi"/>
        </w:rPr>
        <w:t>the NN</w:t>
      </w:r>
      <w:r w:rsidR="003222CB" w:rsidRPr="00B74333">
        <w:rPr>
          <w:rFonts w:cstheme="minorHAnsi"/>
        </w:rPr>
        <w:t xml:space="preserve">GS Network Code </w:t>
      </w:r>
      <w:r w:rsidR="00AA5838" w:rsidRPr="00B74333">
        <w:rPr>
          <w:rFonts w:cstheme="minorHAnsi"/>
        </w:rPr>
        <w:t>as amended and in force</w:t>
      </w:r>
      <w:r w:rsidRPr="00B74333">
        <w:rPr>
          <w:rFonts w:cstheme="minorHAnsi"/>
        </w:rPr>
        <w:t xml:space="preserve">. </w:t>
      </w:r>
    </w:p>
    <w:p w14:paraId="7B365312" w14:textId="3ADE3473" w:rsidR="00DC316C" w:rsidRPr="00B74333" w:rsidRDefault="00C34A47" w:rsidP="00E162E0">
      <w:pPr>
        <w:pStyle w:val="ListParagraph"/>
        <w:widowControl w:val="0"/>
        <w:numPr>
          <w:ilvl w:val="1"/>
          <w:numId w:val="36"/>
        </w:numPr>
        <w:suppressAutoHyphens/>
        <w:spacing w:after="120" w:line="360" w:lineRule="auto"/>
        <w:ind w:left="426" w:hanging="568"/>
        <w:jc w:val="both"/>
        <w:rPr>
          <w:rFonts w:cstheme="minorHAnsi"/>
        </w:rPr>
      </w:pPr>
      <w:r w:rsidRPr="00B74333">
        <w:rPr>
          <w:rFonts w:cstheme="minorHAnsi"/>
        </w:rPr>
        <w:t xml:space="preserve">Present </w:t>
      </w:r>
      <w:r w:rsidR="00B9641B" w:rsidRPr="00B74333">
        <w:rPr>
          <w:rFonts w:cstheme="minorHAnsi"/>
        </w:rPr>
        <w:t xml:space="preserve">Binding Phase Notice </w:t>
      </w:r>
      <w:r w:rsidR="006C00A2" w:rsidRPr="00B74333">
        <w:rPr>
          <w:rFonts w:cstheme="minorHAnsi"/>
        </w:rPr>
        <w:t>prepared and published by DESFA, is considered as integral part of the Joint Notice</w:t>
      </w:r>
      <w:r w:rsidR="00A40F6B" w:rsidRPr="00B74333">
        <w:rPr>
          <w:rFonts w:cstheme="minorHAnsi"/>
        </w:rPr>
        <w:t>s</w:t>
      </w:r>
      <w:r w:rsidR="006C00A2" w:rsidRPr="00B74333">
        <w:rPr>
          <w:rFonts w:cstheme="minorHAnsi"/>
        </w:rPr>
        <w:t xml:space="preserve"> </w:t>
      </w:r>
      <w:r w:rsidR="00095C98" w:rsidRPr="00B74333">
        <w:rPr>
          <w:rFonts w:cstheme="minorHAnsi"/>
        </w:rPr>
        <w:t>for the Binding Phase of the 202</w:t>
      </w:r>
      <w:r w:rsidR="00A40F6B" w:rsidRPr="00B74333">
        <w:rPr>
          <w:rFonts w:cstheme="minorHAnsi"/>
        </w:rPr>
        <w:t>3</w:t>
      </w:r>
      <w:r w:rsidR="00095C98" w:rsidRPr="00B74333">
        <w:rPr>
          <w:rFonts w:cstheme="minorHAnsi"/>
        </w:rPr>
        <w:t xml:space="preserve"> Incremental Capacity Process </w:t>
      </w:r>
      <w:r w:rsidR="008C04EE" w:rsidRPr="00B74333">
        <w:rPr>
          <w:rFonts w:cstheme="minorHAnsi"/>
        </w:rPr>
        <w:t>(hereinafter the “Joint Notice</w:t>
      </w:r>
      <w:r w:rsidR="00A40F6B" w:rsidRPr="00B74333">
        <w:rPr>
          <w:rFonts w:cstheme="minorHAnsi"/>
        </w:rPr>
        <w:t>s</w:t>
      </w:r>
      <w:r w:rsidR="008C04EE" w:rsidRPr="00B74333">
        <w:rPr>
          <w:rFonts w:cstheme="minorHAnsi"/>
        </w:rPr>
        <w:t xml:space="preserve">”) </w:t>
      </w:r>
      <w:r w:rsidR="006C00A2" w:rsidRPr="00B74333">
        <w:rPr>
          <w:rFonts w:cstheme="minorHAnsi"/>
        </w:rPr>
        <w:t>prepared and published jointly by DESFA</w:t>
      </w:r>
      <w:r w:rsidR="00695A45" w:rsidRPr="00B74333">
        <w:rPr>
          <w:rFonts w:cstheme="minorHAnsi"/>
        </w:rPr>
        <w:t>,</w:t>
      </w:r>
      <w:r w:rsidR="00DF5155" w:rsidRPr="00B74333">
        <w:rPr>
          <w:rFonts w:cstheme="minorHAnsi"/>
        </w:rPr>
        <w:t xml:space="preserve"> ICGB and</w:t>
      </w:r>
      <w:r w:rsidR="00695A45" w:rsidRPr="00B74333">
        <w:rPr>
          <w:rFonts w:cstheme="minorHAnsi"/>
        </w:rPr>
        <w:t xml:space="preserve"> BULGARTRANSGAZ </w:t>
      </w:r>
      <w:r w:rsidR="00695A45" w:rsidRPr="00B74333">
        <w:rPr>
          <w:rFonts w:cstheme="minorHAnsi"/>
        </w:rPr>
        <w:lastRenderedPageBreak/>
        <w:t>respectively</w:t>
      </w:r>
      <w:r w:rsidR="006C00A2" w:rsidRPr="00B74333">
        <w:rPr>
          <w:rFonts w:cstheme="minorHAnsi"/>
        </w:rPr>
        <w:t xml:space="preserve">. Each </w:t>
      </w:r>
      <w:r w:rsidR="00B9641B" w:rsidRPr="00B74333">
        <w:rPr>
          <w:rFonts w:cstheme="minorHAnsi"/>
        </w:rPr>
        <w:t>reference to the Joint Notice</w:t>
      </w:r>
      <w:r w:rsidR="007E46F3" w:rsidRPr="00B74333">
        <w:rPr>
          <w:rFonts w:cstheme="minorHAnsi"/>
        </w:rPr>
        <w:t>s</w:t>
      </w:r>
      <w:r w:rsidR="00B9641B" w:rsidRPr="00B74333">
        <w:rPr>
          <w:rFonts w:cstheme="minorHAnsi"/>
        </w:rPr>
        <w:t xml:space="preserve"> must be considered as a reference to </w:t>
      </w:r>
      <w:r w:rsidRPr="00B74333">
        <w:rPr>
          <w:rFonts w:cstheme="minorHAnsi"/>
        </w:rPr>
        <w:t xml:space="preserve">this </w:t>
      </w:r>
      <w:r w:rsidR="00B9641B" w:rsidRPr="00B74333">
        <w:rPr>
          <w:rFonts w:cstheme="minorHAnsi"/>
        </w:rPr>
        <w:t>Binding Phase Notice too.</w:t>
      </w:r>
    </w:p>
    <w:p w14:paraId="6E1DD864" w14:textId="55A8626F" w:rsidR="000B489A" w:rsidRPr="00B74333" w:rsidRDefault="000B489A" w:rsidP="00E162E0">
      <w:pPr>
        <w:pStyle w:val="ListParagraph"/>
        <w:widowControl w:val="0"/>
        <w:numPr>
          <w:ilvl w:val="1"/>
          <w:numId w:val="36"/>
        </w:numPr>
        <w:suppressAutoHyphens/>
        <w:spacing w:after="120" w:line="360" w:lineRule="auto"/>
        <w:ind w:left="426" w:hanging="568"/>
        <w:jc w:val="both"/>
        <w:rPr>
          <w:rFonts w:cstheme="minorHAnsi"/>
        </w:rPr>
      </w:pPr>
      <w:r w:rsidRPr="00B74333">
        <w:rPr>
          <w:rFonts w:cstheme="minorHAnsi"/>
        </w:rPr>
        <w:t xml:space="preserve">The </w:t>
      </w:r>
      <w:r w:rsidR="00F8496B" w:rsidRPr="00B74333">
        <w:rPr>
          <w:rFonts w:cstheme="minorHAnsi"/>
        </w:rPr>
        <w:t>Binding Phase Notice</w:t>
      </w:r>
      <w:r w:rsidRPr="00B74333">
        <w:rPr>
          <w:rFonts w:cstheme="minorHAnsi"/>
        </w:rPr>
        <w:t xml:space="preserve"> </w:t>
      </w:r>
      <w:r w:rsidR="00C34A47" w:rsidRPr="00B74333">
        <w:rPr>
          <w:rFonts w:cstheme="minorHAnsi"/>
        </w:rPr>
        <w:t xml:space="preserve">of DESFA </w:t>
      </w:r>
      <w:r w:rsidRPr="00B74333">
        <w:rPr>
          <w:rFonts w:cstheme="minorHAnsi"/>
        </w:rPr>
        <w:t xml:space="preserve">is made up of the </w:t>
      </w:r>
      <w:r w:rsidR="000B1180" w:rsidRPr="00B74333">
        <w:rPr>
          <w:rFonts w:cstheme="minorHAnsi"/>
        </w:rPr>
        <w:t xml:space="preserve">body of this </w:t>
      </w:r>
      <w:r w:rsidR="00FF35B3" w:rsidRPr="00B74333">
        <w:rPr>
          <w:rFonts w:cstheme="minorHAnsi"/>
        </w:rPr>
        <w:t xml:space="preserve">Binding Phase Notice </w:t>
      </w:r>
      <w:r w:rsidRPr="00B74333">
        <w:rPr>
          <w:rFonts w:cstheme="minorHAnsi"/>
        </w:rPr>
        <w:t>and its Annexes</w:t>
      </w:r>
      <w:r w:rsidR="00F64535" w:rsidRPr="00B74333">
        <w:rPr>
          <w:rFonts w:cstheme="minorHAnsi"/>
        </w:rPr>
        <w:t>, that</w:t>
      </w:r>
      <w:r w:rsidRPr="00B74333">
        <w:rPr>
          <w:rFonts w:cstheme="minorHAnsi"/>
        </w:rPr>
        <w:t xml:space="preserve"> constitute an integral part of</w:t>
      </w:r>
      <w:r w:rsidR="00F8496B" w:rsidRPr="00B74333">
        <w:rPr>
          <w:rFonts w:cstheme="minorHAnsi"/>
        </w:rPr>
        <w:t xml:space="preserve"> </w:t>
      </w:r>
      <w:r w:rsidR="00C34A47" w:rsidRPr="00B74333">
        <w:rPr>
          <w:rFonts w:cstheme="minorHAnsi"/>
        </w:rPr>
        <w:t>th</w:t>
      </w:r>
      <w:r w:rsidR="00FF35B3" w:rsidRPr="00B74333">
        <w:rPr>
          <w:rFonts w:cstheme="minorHAnsi"/>
        </w:rPr>
        <w:t>e</w:t>
      </w:r>
      <w:r w:rsidR="00F8496B" w:rsidRPr="00B74333">
        <w:rPr>
          <w:rFonts w:cstheme="minorHAnsi"/>
        </w:rPr>
        <w:t xml:space="preserve"> Binding Phase Notice</w:t>
      </w:r>
      <w:r w:rsidRPr="00B74333">
        <w:rPr>
          <w:rFonts w:cstheme="minorHAnsi"/>
        </w:rPr>
        <w:t>.</w:t>
      </w:r>
    </w:p>
    <w:p w14:paraId="2A6501ED" w14:textId="641B7BDC" w:rsidR="004A102F" w:rsidRPr="00B74333" w:rsidRDefault="004B01AB" w:rsidP="00E162E0">
      <w:pPr>
        <w:pStyle w:val="ListParagraph"/>
        <w:widowControl w:val="0"/>
        <w:numPr>
          <w:ilvl w:val="1"/>
          <w:numId w:val="36"/>
        </w:numPr>
        <w:suppressAutoHyphens/>
        <w:spacing w:after="120" w:line="360" w:lineRule="auto"/>
        <w:ind w:left="426" w:hanging="568"/>
        <w:jc w:val="both"/>
        <w:rPr>
          <w:rStyle w:val="CommentReference"/>
          <w:rFonts w:cstheme="minorHAnsi"/>
          <w:sz w:val="22"/>
          <w:szCs w:val="22"/>
        </w:rPr>
      </w:pPr>
      <w:r w:rsidRPr="00B74333">
        <w:rPr>
          <w:rFonts w:cstheme="minorHAnsi"/>
        </w:rPr>
        <w:t xml:space="preserve">References in this Binding Phase Notice to Articles and Annexes are to Articles and Annexes of </w:t>
      </w:r>
      <w:r w:rsidR="007604B0" w:rsidRPr="00B74333">
        <w:rPr>
          <w:rFonts w:cstheme="minorHAnsi"/>
        </w:rPr>
        <w:t>the Binding Phase Notice</w:t>
      </w:r>
      <w:r w:rsidRPr="00B74333">
        <w:rPr>
          <w:rFonts w:cstheme="minorHAnsi"/>
        </w:rPr>
        <w:t>.</w:t>
      </w:r>
      <w:r w:rsidR="006C76DF" w:rsidRPr="00B74333">
        <w:rPr>
          <w:rFonts w:cstheme="minorHAnsi"/>
        </w:rPr>
        <w:t xml:space="preserve"> </w:t>
      </w:r>
    </w:p>
    <w:p w14:paraId="496B32A5" w14:textId="4A4E3484" w:rsidR="00A50537" w:rsidRPr="00B74333" w:rsidRDefault="00F55F53" w:rsidP="00CB752D">
      <w:pPr>
        <w:pStyle w:val="ListParagraph"/>
        <w:widowControl w:val="0"/>
        <w:numPr>
          <w:ilvl w:val="1"/>
          <w:numId w:val="36"/>
        </w:numPr>
        <w:suppressAutoHyphens/>
        <w:spacing w:after="120" w:line="360" w:lineRule="auto"/>
        <w:ind w:left="426" w:hanging="568"/>
        <w:jc w:val="both"/>
        <w:rPr>
          <w:rFonts w:cstheme="minorHAnsi"/>
        </w:rPr>
      </w:pPr>
      <w:r w:rsidRPr="00B74333" w:rsidDel="004A102F">
        <w:br w:type="page"/>
      </w:r>
    </w:p>
    <w:p w14:paraId="3ED736F8" w14:textId="77777777" w:rsidR="00563148" w:rsidRPr="00B74333" w:rsidRDefault="003D5005" w:rsidP="00A85830">
      <w:pPr>
        <w:pStyle w:val="Heading1"/>
        <w:spacing w:after="160"/>
        <w:ind w:left="426"/>
      </w:pPr>
      <w:bookmarkStart w:id="10" w:name="_Toc71289524"/>
      <w:bookmarkStart w:id="11" w:name="_Toc165465555"/>
      <w:r w:rsidRPr="00B74333">
        <w:lastRenderedPageBreak/>
        <w:t xml:space="preserve">Article </w:t>
      </w:r>
      <w:r w:rsidR="00423E48" w:rsidRPr="00B74333">
        <w:t>2</w:t>
      </w:r>
      <w:r w:rsidRPr="00B74333">
        <w:t xml:space="preserve"> - </w:t>
      </w:r>
      <w:r w:rsidR="00563148" w:rsidRPr="00B74333">
        <w:t>Description of the incremental capacity project and cost estimat</w:t>
      </w:r>
      <w:bookmarkStart w:id="12" w:name="_Toc495577430"/>
      <w:bookmarkStart w:id="13" w:name="_Toc495580381"/>
      <w:bookmarkStart w:id="14" w:name="_Ref495572148"/>
      <w:bookmarkEnd w:id="4"/>
      <w:bookmarkEnd w:id="5"/>
      <w:bookmarkEnd w:id="12"/>
      <w:bookmarkEnd w:id="13"/>
      <w:r w:rsidR="0051019C" w:rsidRPr="00B74333">
        <w:t>ion</w:t>
      </w:r>
      <w:bookmarkEnd w:id="10"/>
      <w:bookmarkEnd w:id="11"/>
    </w:p>
    <w:p w14:paraId="6164926C" w14:textId="72CFAAD9" w:rsidR="00336F71" w:rsidRPr="00B74333" w:rsidRDefault="00563148">
      <w:pPr>
        <w:pStyle w:val="ListParagraph"/>
        <w:widowControl w:val="0"/>
        <w:numPr>
          <w:ilvl w:val="1"/>
          <w:numId w:val="22"/>
        </w:numPr>
        <w:suppressAutoHyphens/>
        <w:spacing w:after="120" w:line="360" w:lineRule="auto"/>
        <w:ind w:left="426" w:hanging="568"/>
        <w:jc w:val="both"/>
        <w:rPr>
          <w:rFonts w:cstheme="minorHAnsi"/>
        </w:rPr>
      </w:pPr>
      <w:bookmarkStart w:id="15" w:name="_Toc495577431"/>
      <w:bookmarkStart w:id="16" w:name="_Toc495580382"/>
      <w:bookmarkEnd w:id="14"/>
      <w:bookmarkEnd w:id="15"/>
      <w:bookmarkEnd w:id="16"/>
      <w:r w:rsidRPr="00B74333">
        <w:rPr>
          <w:rFonts w:cstheme="minorHAnsi"/>
        </w:rPr>
        <w:t xml:space="preserve">Non-binding demand indications </w:t>
      </w:r>
      <w:r w:rsidR="00F179A2" w:rsidRPr="00B74333">
        <w:rPr>
          <w:rFonts w:cstheme="minorHAnsi"/>
        </w:rPr>
        <w:t xml:space="preserve">were received in the context of the Call of Interest </w:t>
      </w:r>
      <w:r w:rsidR="00F179A2" w:rsidRPr="00B74333">
        <w:rPr>
          <w:rFonts w:eastAsia="Calibri" w:cstheme="minorHAnsi"/>
        </w:rPr>
        <w:t>for the Market Test</w:t>
      </w:r>
      <w:r w:rsidR="00F179A2" w:rsidRPr="00B74333" w:rsidDel="00F179A2">
        <w:rPr>
          <w:rFonts w:cstheme="minorHAnsi"/>
        </w:rPr>
        <w:t xml:space="preserve"> </w:t>
      </w:r>
      <w:r w:rsidR="008132BB" w:rsidRPr="00B74333">
        <w:rPr>
          <w:rFonts w:cstheme="minorHAnsi"/>
        </w:rPr>
        <w:t xml:space="preserve">along with Non-binding demand indications received </w:t>
      </w:r>
      <w:r w:rsidR="00070725" w:rsidRPr="00B74333">
        <w:rPr>
          <w:rFonts w:cstheme="minorHAnsi"/>
        </w:rPr>
        <w:t xml:space="preserve">in the context of </w:t>
      </w:r>
      <w:r w:rsidR="00A65281" w:rsidRPr="00B74333">
        <w:rPr>
          <w:rFonts w:cstheme="minorHAnsi"/>
        </w:rPr>
        <w:t>the Incremental Capacity Processes with the TSOs Concerned</w:t>
      </w:r>
      <w:r w:rsidR="004327E8" w:rsidRPr="00B74333">
        <w:rPr>
          <w:rFonts w:cstheme="minorHAnsi"/>
        </w:rPr>
        <w:t xml:space="preserve">, at </w:t>
      </w:r>
      <w:r w:rsidR="00CB12FD" w:rsidRPr="00B74333">
        <w:rPr>
          <w:rFonts w:cstheme="minorHAnsi"/>
        </w:rPr>
        <w:t>Kulata/Sidirokastro IP and Komotini IP</w:t>
      </w:r>
      <w:r w:rsidR="00E87ED8" w:rsidRPr="00B74333">
        <w:rPr>
          <w:rFonts w:cstheme="minorHAnsi"/>
        </w:rPr>
        <w:t xml:space="preserve">, which </w:t>
      </w:r>
      <w:r w:rsidRPr="00B74333">
        <w:rPr>
          <w:rFonts w:cstheme="minorHAnsi"/>
        </w:rPr>
        <w:t xml:space="preserve">are described in detail in the </w:t>
      </w:r>
      <w:r w:rsidRPr="00B74333">
        <w:rPr>
          <w:rFonts w:cstheme="minorHAnsi"/>
        </w:rPr>
        <w:fldChar w:fldCharType="begin"/>
      </w:r>
      <w:r w:rsidRPr="00B74333">
        <w:rPr>
          <w:rFonts w:cstheme="minorHAnsi"/>
        </w:rPr>
        <w:instrText xml:space="preserve"> XE "Demand Assessment Report" </w:instrText>
      </w:r>
      <w:r w:rsidRPr="00B74333">
        <w:rPr>
          <w:rFonts w:cstheme="minorHAnsi"/>
        </w:rPr>
        <w:fldChar w:fldCharType="end"/>
      </w:r>
      <w:r w:rsidRPr="00B74333">
        <w:rPr>
          <w:rFonts w:cstheme="minorHAnsi"/>
        </w:rPr>
        <w:t>D</w:t>
      </w:r>
      <w:r w:rsidR="00932EFB" w:rsidRPr="00B74333">
        <w:rPr>
          <w:rFonts w:cstheme="minorHAnsi"/>
        </w:rPr>
        <w:t xml:space="preserve">emand Assessment </w:t>
      </w:r>
      <w:r w:rsidRPr="00B74333">
        <w:rPr>
          <w:rFonts w:cstheme="minorHAnsi"/>
        </w:rPr>
        <w:t>R</w:t>
      </w:r>
      <w:r w:rsidR="00932EFB" w:rsidRPr="00B74333">
        <w:rPr>
          <w:rFonts w:cstheme="minorHAnsi"/>
        </w:rPr>
        <w:t>eport</w:t>
      </w:r>
      <w:r w:rsidR="00E87ED8" w:rsidRPr="00B74333">
        <w:rPr>
          <w:rFonts w:cstheme="minorHAnsi"/>
        </w:rPr>
        <w:t>s</w:t>
      </w:r>
      <w:r w:rsidRPr="00B74333">
        <w:rPr>
          <w:rFonts w:cstheme="minorHAnsi"/>
        </w:rPr>
        <w:t xml:space="preserve"> </w:t>
      </w:r>
      <w:r w:rsidR="00C7745B" w:rsidRPr="00B74333">
        <w:rPr>
          <w:rFonts w:cstheme="minorHAnsi"/>
        </w:rPr>
        <w:t>and</w:t>
      </w:r>
      <w:r w:rsidR="003A0C39" w:rsidRPr="00B74333">
        <w:rPr>
          <w:rFonts w:cstheme="minorHAnsi"/>
        </w:rPr>
        <w:t xml:space="preserve"> the Project Proposal</w:t>
      </w:r>
      <w:r w:rsidR="00E87ED8" w:rsidRPr="00B74333">
        <w:rPr>
          <w:rFonts w:cstheme="minorHAnsi"/>
        </w:rPr>
        <w:t>s</w:t>
      </w:r>
      <w:r w:rsidRPr="00B74333">
        <w:rPr>
          <w:rFonts w:cstheme="minorHAnsi"/>
        </w:rPr>
        <w:t>.</w:t>
      </w:r>
      <w:r w:rsidR="00FF1699" w:rsidRPr="00B74333">
        <w:rPr>
          <w:rFonts w:cstheme="minorHAnsi"/>
        </w:rPr>
        <w:t xml:space="preserve"> </w:t>
      </w:r>
      <w:r w:rsidRPr="00B74333">
        <w:rPr>
          <w:rFonts w:cstheme="minorHAnsi"/>
        </w:rPr>
        <w:t xml:space="preserve">The demand indications received by DESFA were enough to initiate the design phase </w:t>
      </w:r>
      <w:r w:rsidR="00320931" w:rsidRPr="00B74333">
        <w:rPr>
          <w:rFonts w:cstheme="minorHAnsi"/>
        </w:rPr>
        <w:t>for the identification of the expansion projects</w:t>
      </w:r>
      <w:r w:rsidRPr="00B74333">
        <w:rPr>
          <w:rFonts w:cstheme="minorHAnsi"/>
        </w:rPr>
        <w:t xml:space="preserve">. </w:t>
      </w:r>
      <w:r w:rsidR="008C337E" w:rsidRPr="00B74333">
        <w:rPr>
          <w:rFonts w:cstheme="minorHAnsi"/>
        </w:rPr>
        <w:t>DESFA assessed Expansion Projects that create incremental capacity at various points of the DESFA System</w:t>
      </w:r>
      <w:r w:rsidR="008A3E2F" w:rsidRPr="00B74333">
        <w:rPr>
          <w:rFonts w:cstheme="minorHAnsi"/>
        </w:rPr>
        <w:t>, simultaneously</w:t>
      </w:r>
      <w:r w:rsidR="008C337E" w:rsidRPr="00B74333">
        <w:rPr>
          <w:rFonts w:cstheme="minorHAnsi"/>
        </w:rPr>
        <w:t>.</w:t>
      </w:r>
    </w:p>
    <w:p w14:paraId="5621B429" w14:textId="28E30E34" w:rsidR="00F702D6" w:rsidRPr="00B74333" w:rsidRDefault="00A54957" w:rsidP="001D6147">
      <w:pPr>
        <w:pStyle w:val="ListParagraph"/>
        <w:widowControl w:val="0"/>
        <w:numPr>
          <w:ilvl w:val="1"/>
          <w:numId w:val="22"/>
        </w:numPr>
        <w:suppressAutoHyphens/>
        <w:spacing w:after="120" w:line="360" w:lineRule="auto"/>
        <w:ind w:left="426" w:hanging="568"/>
        <w:jc w:val="both"/>
        <w:rPr>
          <w:rFonts w:cstheme="minorHAnsi"/>
        </w:rPr>
      </w:pPr>
      <w:r w:rsidRPr="00B74333">
        <w:rPr>
          <w:rFonts w:cstheme="minorHAnsi"/>
        </w:rPr>
        <w:t xml:space="preserve">DESFA has included in the </w:t>
      </w:r>
      <w:r w:rsidR="00B252ED" w:rsidRPr="00B74333">
        <w:rPr>
          <w:rFonts w:cstheme="minorHAnsi"/>
        </w:rPr>
        <w:t>Guidelines</w:t>
      </w:r>
      <w:r w:rsidR="00044335" w:rsidRPr="00B74333">
        <w:rPr>
          <w:rFonts w:cstheme="minorHAnsi"/>
        </w:rPr>
        <w:t xml:space="preserve"> all the</w:t>
      </w:r>
      <w:r w:rsidR="00FB19B6" w:rsidRPr="00B74333">
        <w:rPr>
          <w:rFonts w:cstheme="minorHAnsi"/>
        </w:rPr>
        <w:t xml:space="preserve"> proposed Offer Levels and the relevant required </w:t>
      </w:r>
      <w:r w:rsidR="001C513F" w:rsidRPr="00B74333">
        <w:rPr>
          <w:rFonts w:cstheme="minorHAnsi"/>
        </w:rPr>
        <w:t>infrastructure upgrades</w:t>
      </w:r>
      <w:r w:rsidR="00302409" w:rsidRPr="00B74333">
        <w:rPr>
          <w:rFonts w:cstheme="minorHAnsi"/>
        </w:rPr>
        <w:t xml:space="preserve"> (Expansion Projects)</w:t>
      </w:r>
      <w:r w:rsidR="002437D0" w:rsidRPr="00B74333">
        <w:rPr>
          <w:rFonts w:cstheme="minorHAnsi"/>
        </w:rPr>
        <w:t>.</w:t>
      </w:r>
      <w:r w:rsidR="0088124E" w:rsidRPr="00B74333">
        <w:rPr>
          <w:rFonts w:cstheme="minorHAnsi"/>
        </w:rPr>
        <w:t xml:space="preserve"> Those</w:t>
      </w:r>
      <w:r w:rsidR="00B2269D" w:rsidRPr="00B74333">
        <w:rPr>
          <w:rFonts w:cstheme="minorHAnsi"/>
        </w:rPr>
        <w:t xml:space="preserve"> projects </w:t>
      </w:r>
      <w:r w:rsidR="00302409" w:rsidRPr="00B74333">
        <w:rPr>
          <w:rFonts w:cstheme="minorHAnsi"/>
        </w:rPr>
        <w:t xml:space="preserve">and the associated costs </w:t>
      </w:r>
      <w:r w:rsidR="00B2269D" w:rsidRPr="00B74333">
        <w:rPr>
          <w:rFonts w:cstheme="minorHAnsi"/>
        </w:rPr>
        <w:t>are summarized in the following tables.</w:t>
      </w:r>
    </w:p>
    <w:p w14:paraId="4147AAEF" w14:textId="01E0D2E9" w:rsidR="000A6F0B" w:rsidRPr="00B74333" w:rsidRDefault="000A6F0B" w:rsidP="008A3E2F">
      <w:pPr>
        <w:pStyle w:val="Caption"/>
        <w:keepNext/>
        <w:spacing w:after="120"/>
        <w:ind w:left="425"/>
        <w:rPr>
          <w:rFonts w:asciiTheme="minorHAnsi" w:hAnsiTheme="minorHAnsi" w:cstheme="minorHAnsi"/>
          <w:sz w:val="20"/>
          <w:szCs w:val="20"/>
          <w:lang w:val="en-US"/>
        </w:rPr>
      </w:pPr>
      <w:bookmarkStart w:id="17" w:name="_Ref163211327"/>
      <w:r w:rsidRPr="00B74333">
        <w:rPr>
          <w:rFonts w:asciiTheme="minorHAnsi" w:hAnsiTheme="minorHAnsi" w:cstheme="minorHAnsi"/>
          <w:sz w:val="20"/>
          <w:szCs w:val="20"/>
          <w:lang w:val="en-US"/>
        </w:rPr>
        <w:t xml:space="preserve">Table </w:t>
      </w:r>
      <w:r w:rsidRPr="00B74333">
        <w:rPr>
          <w:rFonts w:asciiTheme="minorHAnsi" w:hAnsiTheme="minorHAnsi" w:cstheme="minorHAnsi"/>
          <w:sz w:val="20"/>
          <w:szCs w:val="20"/>
          <w:lang w:val="en-US"/>
        </w:rPr>
        <w:fldChar w:fldCharType="begin"/>
      </w:r>
      <w:r w:rsidRPr="00B74333">
        <w:rPr>
          <w:rFonts w:asciiTheme="minorHAnsi" w:hAnsiTheme="minorHAnsi" w:cstheme="minorHAnsi"/>
          <w:sz w:val="20"/>
          <w:szCs w:val="20"/>
          <w:lang w:val="en-US"/>
        </w:rPr>
        <w:instrText xml:space="preserve"> SEQ Table \* ARABIC </w:instrText>
      </w:r>
      <w:r w:rsidRPr="00B74333">
        <w:rPr>
          <w:rFonts w:asciiTheme="minorHAnsi" w:hAnsiTheme="minorHAnsi" w:cstheme="minorHAnsi"/>
          <w:sz w:val="20"/>
          <w:szCs w:val="20"/>
          <w:lang w:val="en-US"/>
        </w:rPr>
        <w:fldChar w:fldCharType="separate"/>
      </w:r>
      <w:r w:rsidR="00436FED" w:rsidRPr="00B74333">
        <w:rPr>
          <w:rFonts w:asciiTheme="minorHAnsi" w:hAnsiTheme="minorHAnsi" w:cstheme="minorHAnsi"/>
          <w:sz w:val="20"/>
          <w:szCs w:val="20"/>
          <w:lang w:val="en-US"/>
        </w:rPr>
        <w:t>1</w:t>
      </w:r>
      <w:r w:rsidRPr="00B74333">
        <w:rPr>
          <w:rFonts w:asciiTheme="minorHAnsi" w:hAnsiTheme="minorHAnsi" w:cstheme="minorHAnsi"/>
          <w:sz w:val="20"/>
          <w:szCs w:val="20"/>
          <w:lang w:val="en-US"/>
        </w:rPr>
        <w:fldChar w:fldCharType="end"/>
      </w:r>
      <w:bookmarkEnd w:id="17"/>
      <w:r w:rsidRPr="00B74333">
        <w:rPr>
          <w:rFonts w:asciiTheme="minorHAnsi" w:hAnsiTheme="minorHAnsi" w:cstheme="minorHAnsi"/>
          <w:sz w:val="20"/>
          <w:szCs w:val="20"/>
          <w:lang w:val="en-US"/>
        </w:rPr>
        <w:t xml:space="preserve">: </w:t>
      </w:r>
      <w:r w:rsidR="00E5347D" w:rsidRPr="00B74333">
        <w:rPr>
          <w:rFonts w:asciiTheme="minorHAnsi" w:hAnsiTheme="minorHAnsi" w:cstheme="minorHAnsi"/>
          <w:sz w:val="20"/>
          <w:szCs w:val="20"/>
          <w:lang w:val="en-US"/>
        </w:rPr>
        <w:t xml:space="preserve">Expansion Projects </w:t>
      </w:r>
      <w:r w:rsidR="005448CA" w:rsidRPr="00B74333">
        <w:rPr>
          <w:rFonts w:asciiTheme="minorHAnsi" w:hAnsiTheme="minorHAnsi" w:cstheme="minorHAnsi"/>
          <w:sz w:val="20"/>
          <w:szCs w:val="20"/>
          <w:lang w:val="en-US"/>
        </w:rPr>
        <w:t>described in the</w:t>
      </w:r>
      <w:r w:rsidR="00442BF8" w:rsidRPr="00B74333">
        <w:rPr>
          <w:rFonts w:asciiTheme="minorHAnsi" w:hAnsiTheme="minorHAnsi" w:cstheme="minorHAnsi"/>
          <w:sz w:val="20"/>
          <w:szCs w:val="20"/>
          <w:lang w:val="en-US"/>
        </w:rPr>
        <w:t xml:space="preserve"> Guidelines</w:t>
      </w:r>
      <w:r w:rsidR="00367ECD" w:rsidRPr="00B74333">
        <w:rPr>
          <w:rFonts w:asciiTheme="minorHAnsi" w:hAnsiTheme="minorHAnsi" w:cstheme="minorHAnsi"/>
          <w:sz w:val="20"/>
          <w:szCs w:val="20"/>
          <w:lang w:val="en-US"/>
        </w:rPr>
        <w:t>.</w:t>
      </w:r>
    </w:p>
    <w:tbl>
      <w:tblPr>
        <w:tblW w:w="8219" w:type="dxa"/>
        <w:jc w:val="center"/>
        <w:tblBorders>
          <w:top w:val="single" w:sz="2" w:space="0" w:color="173262"/>
          <w:left w:val="single" w:sz="2" w:space="0" w:color="173262"/>
          <w:bottom w:val="single" w:sz="2" w:space="0" w:color="173262"/>
          <w:right w:val="single" w:sz="2" w:space="0" w:color="173262"/>
          <w:insideH w:val="single" w:sz="2" w:space="0" w:color="173262"/>
          <w:insideV w:val="single" w:sz="2" w:space="0" w:color="173262"/>
        </w:tblBorders>
        <w:tblCellMar>
          <w:left w:w="0" w:type="dxa"/>
          <w:right w:w="0" w:type="dxa"/>
        </w:tblCellMar>
        <w:tblLook w:val="0420" w:firstRow="1" w:lastRow="0" w:firstColumn="0" w:lastColumn="0" w:noHBand="0" w:noVBand="1"/>
      </w:tblPr>
      <w:tblGrid>
        <w:gridCol w:w="1322"/>
        <w:gridCol w:w="2499"/>
        <w:gridCol w:w="996"/>
        <w:gridCol w:w="1734"/>
        <w:gridCol w:w="1668"/>
      </w:tblGrid>
      <w:tr w:rsidR="00F702D6" w:rsidRPr="00B74333" w14:paraId="59B72CC2" w14:textId="77777777">
        <w:trPr>
          <w:trHeight w:val="905"/>
          <w:tblHeader/>
          <w:jc w:val="center"/>
        </w:trPr>
        <w:tc>
          <w:tcPr>
            <w:tcW w:w="1322" w:type="dxa"/>
            <w:shd w:val="clear" w:color="auto" w:fill="139586"/>
            <w:vAlign w:val="center"/>
          </w:tcPr>
          <w:p w14:paraId="660962CE" w14:textId="77777777" w:rsidR="00F702D6" w:rsidRPr="00B74333" w:rsidRDefault="00F702D6">
            <w:pPr>
              <w:suppressAutoHyphens/>
              <w:spacing w:after="0"/>
              <w:jc w:val="center"/>
              <w:rPr>
                <w:rFonts w:eastAsia="Times New Roman" w:cstheme="minorHAnsi"/>
                <w:b/>
                <w:color w:val="FFFFFF"/>
              </w:rPr>
            </w:pPr>
            <w:r w:rsidRPr="00B74333">
              <w:rPr>
                <w:rFonts w:eastAsia="Times New Roman" w:cstheme="minorHAnsi"/>
                <w:b/>
                <w:color w:val="FFFFFF" w:themeColor="background1"/>
              </w:rPr>
              <w:t>Expansion Project</w:t>
            </w:r>
          </w:p>
        </w:tc>
        <w:tc>
          <w:tcPr>
            <w:tcW w:w="2499" w:type="dxa"/>
            <w:shd w:val="clear" w:color="auto" w:fill="139586"/>
            <w:vAlign w:val="center"/>
          </w:tcPr>
          <w:p w14:paraId="112077D8" w14:textId="77777777" w:rsidR="00F702D6" w:rsidRPr="00B74333" w:rsidRDefault="00F702D6">
            <w:pPr>
              <w:suppressAutoHyphens/>
              <w:spacing w:after="0"/>
              <w:jc w:val="center"/>
              <w:rPr>
                <w:rFonts w:eastAsia="Times New Roman" w:cstheme="minorHAnsi"/>
                <w:b/>
                <w:color w:val="FFFFFF" w:themeColor="background1"/>
              </w:rPr>
            </w:pPr>
            <w:r w:rsidRPr="00B74333">
              <w:rPr>
                <w:rFonts w:eastAsia="Times New Roman" w:cstheme="minorHAnsi"/>
                <w:b/>
                <w:color w:val="FFFFFF" w:themeColor="background1"/>
              </w:rPr>
              <w:t>Duplicated section</w:t>
            </w:r>
          </w:p>
        </w:tc>
        <w:tc>
          <w:tcPr>
            <w:tcW w:w="996" w:type="dxa"/>
            <w:shd w:val="clear" w:color="auto" w:fill="139586"/>
            <w:vAlign w:val="center"/>
          </w:tcPr>
          <w:p w14:paraId="25A24860" w14:textId="77777777" w:rsidR="00F702D6" w:rsidRPr="00B74333" w:rsidRDefault="00F702D6">
            <w:pPr>
              <w:suppressAutoHyphens/>
              <w:spacing w:after="0"/>
              <w:jc w:val="center"/>
              <w:rPr>
                <w:rFonts w:eastAsia="Times New Roman" w:cstheme="minorHAnsi"/>
                <w:b/>
                <w:color w:val="FFFFFF" w:themeColor="background1"/>
              </w:rPr>
            </w:pPr>
            <w:r w:rsidRPr="00B74333">
              <w:rPr>
                <w:rFonts w:eastAsia="Times New Roman" w:cstheme="minorHAnsi"/>
                <w:b/>
                <w:color w:val="FFFFFF" w:themeColor="background1"/>
              </w:rPr>
              <w:t xml:space="preserve">Length </w:t>
            </w:r>
          </w:p>
          <w:p w14:paraId="5DBF5979" w14:textId="77777777" w:rsidR="00F702D6" w:rsidRPr="00B74333" w:rsidRDefault="00F702D6">
            <w:pPr>
              <w:suppressAutoHyphens/>
              <w:spacing w:after="0"/>
              <w:jc w:val="center"/>
              <w:rPr>
                <w:rFonts w:eastAsia="Times New Roman" w:cstheme="minorHAnsi"/>
                <w:b/>
                <w:color w:val="FFFFFF" w:themeColor="background1"/>
              </w:rPr>
            </w:pPr>
            <w:r w:rsidRPr="00B74333">
              <w:rPr>
                <w:rFonts w:eastAsia="Times New Roman" w:cstheme="minorHAnsi"/>
                <w:b/>
                <w:color w:val="FFFFFF" w:themeColor="background1"/>
              </w:rPr>
              <w:t>(km)</w:t>
            </w:r>
          </w:p>
        </w:tc>
        <w:tc>
          <w:tcPr>
            <w:tcW w:w="1734" w:type="dxa"/>
            <w:shd w:val="clear" w:color="auto" w:fill="139586"/>
            <w:vAlign w:val="center"/>
          </w:tcPr>
          <w:p w14:paraId="10D8658E" w14:textId="77777777" w:rsidR="00F702D6" w:rsidRPr="00B74333" w:rsidRDefault="00F702D6">
            <w:pPr>
              <w:suppressAutoHyphens/>
              <w:spacing w:after="0"/>
              <w:jc w:val="center"/>
              <w:rPr>
                <w:rFonts w:eastAsia="Times New Roman" w:cstheme="minorHAnsi"/>
                <w:b/>
                <w:color w:val="FFFFFF"/>
              </w:rPr>
            </w:pPr>
            <w:r w:rsidRPr="00B74333">
              <w:rPr>
                <w:rFonts w:eastAsia="Times New Roman" w:cstheme="minorHAnsi"/>
                <w:b/>
                <w:color w:val="FFFFFF" w:themeColor="background1"/>
              </w:rPr>
              <w:t>Maximum upgrade of Nea Messimvria CS</w:t>
            </w:r>
          </w:p>
        </w:tc>
        <w:tc>
          <w:tcPr>
            <w:tcW w:w="1668" w:type="dxa"/>
            <w:shd w:val="clear" w:color="auto" w:fill="139586"/>
          </w:tcPr>
          <w:p w14:paraId="58BCAFF5" w14:textId="77777777" w:rsidR="00F702D6" w:rsidRPr="00B74333" w:rsidRDefault="00F702D6">
            <w:pPr>
              <w:suppressAutoHyphens/>
              <w:spacing w:after="0"/>
              <w:jc w:val="center"/>
              <w:rPr>
                <w:rFonts w:eastAsia="Times New Roman" w:cstheme="minorHAnsi"/>
                <w:b/>
                <w:color w:val="FFFFFF"/>
              </w:rPr>
            </w:pPr>
            <w:r w:rsidRPr="00B74333">
              <w:rPr>
                <w:rFonts w:eastAsia="Times New Roman" w:cstheme="minorHAnsi"/>
                <w:b/>
                <w:color w:val="FFFFFF" w:themeColor="background1"/>
              </w:rPr>
              <w:t xml:space="preserve">Maximum upgrade of </w:t>
            </w:r>
            <w:proofErr w:type="spellStart"/>
            <w:r w:rsidRPr="00B74333">
              <w:rPr>
                <w:rFonts w:eastAsia="Times New Roman" w:cstheme="minorHAnsi"/>
                <w:b/>
                <w:color w:val="FFFFFF" w:themeColor="background1"/>
              </w:rPr>
              <w:t>Ampelia</w:t>
            </w:r>
            <w:proofErr w:type="spellEnd"/>
            <w:r w:rsidRPr="00B74333">
              <w:rPr>
                <w:rFonts w:eastAsia="Times New Roman" w:cstheme="minorHAnsi"/>
                <w:b/>
                <w:color w:val="FFFFFF" w:themeColor="background1"/>
              </w:rPr>
              <w:t xml:space="preserve"> CS</w:t>
            </w:r>
          </w:p>
        </w:tc>
      </w:tr>
      <w:tr w:rsidR="00F702D6" w:rsidRPr="00B74333" w14:paraId="31B25AB9" w14:textId="77777777">
        <w:trPr>
          <w:trHeight w:val="417"/>
          <w:jc w:val="center"/>
        </w:trPr>
        <w:tc>
          <w:tcPr>
            <w:tcW w:w="1322" w:type="dxa"/>
            <w:shd w:val="clear" w:color="auto" w:fill="FFFFFF" w:themeFill="background1"/>
            <w:vAlign w:val="center"/>
          </w:tcPr>
          <w:p w14:paraId="633CF7C0" w14:textId="77777777" w:rsidR="00F702D6" w:rsidRPr="00B74333" w:rsidRDefault="00F702D6">
            <w:pPr>
              <w:suppressAutoHyphens/>
              <w:spacing w:after="0"/>
              <w:jc w:val="center"/>
              <w:rPr>
                <w:rFonts w:eastAsia="Times New Roman" w:cstheme="minorHAnsi"/>
              </w:rPr>
            </w:pPr>
            <w:r w:rsidRPr="00B74333">
              <w:rPr>
                <w:rFonts w:cstheme="minorHAnsi"/>
              </w:rPr>
              <w:t>Full</w:t>
            </w:r>
          </w:p>
        </w:tc>
        <w:tc>
          <w:tcPr>
            <w:tcW w:w="2499" w:type="dxa"/>
            <w:shd w:val="clear" w:color="auto" w:fill="FFFFFF" w:themeFill="background1"/>
            <w:vAlign w:val="center"/>
          </w:tcPr>
          <w:p w14:paraId="34F96275"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Patima – Nea Messimvria</w:t>
            </w:r>
          </w:p>
        </w:tc>
        <w:tc>
          <w:tcPr>
            <w:tcW w:w="996" w:type="dxa"/>
            <w:shd w:val="clear" w:color="auto" w:fill="FFFFFF" w:themeFill="background1"/>
            <w:vAlign w:val="center"/>
          </w:tcPr>
          <w:p w14:paraId="5E42F6F2"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410</w:t>
            </w:r>
          </w:p>
        </w:tc>
        <w:tc>
          <w:tcPr>
            <w:tcW w:w="1734" w:type="dxa"/>
            <w:shd w:val="clear" w:color="auto" w:fill="FFFFFF" w:themeFill="background1"/>
            <w:vAlign w:val="center"/>
          </w:tcPr>
          <w:p w14:paraId="4A0896F4"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Considerable</w:t>
            </w:r>
          </w:p>
        </w:tc>
        <w:tc>
          <w:tcPr>
            <w:tcW w:w="1668" w:type="dxa"/>
            <w:shd w:val="clear" w:color="auto" w:fill="FFFFFF" w:themeFill="background1"/>
            <w:vAlign w:val="center"/>
          </w:tcPr>
          <w:p w14:paraId="4693DDD7"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Moderate/ Considerable</w:t>
            </w:r>
          </w:p>
        </w:tc>
      </w:tr>
      <w:tr w:rsidR="00F702D6" w:rsidRPr="00B74333" w14:paraId="169E496B" w14:textId="77777777">
        <w:trPr>
          <w:trHeight w:val="417"/>
          <w:jc w:val="center"/>
        </w:trPr>
        <w:tc>
          <w:tcPr>
            <w:tcW w:w="1322" w:type="dxa"/>
            <w:shd w:val="clear" w:color="auto" w:fill="FFFFFF" w:themeFill="background1"/>
            <w:vAlign w:val="center"/>
          </w:tcPr>
          <w:p w14:paraId="224F27FA" w14:textId="77777777" w:rsidR="00F702D6" w:rsidRPr="00B74333" w:rsidRDefault="00F702D6">
            <w:pPr>
              <w:suppressAutoHyphens/>
              <w:spacing w:after="0"/>
              <w:jc w:val="center"/>
              <w:rPr>
                <w:rFonts w:eastAsia="Times New Roman" w:cstheme="minorHAnsi"/>
              </w:rPr>
            </w:pPr>
            <w:r w:rsidRPr="00B74333">
              <w:rPr>
                <w:rFonts w:cstheme="minorHAnsi"/>
              </w:rPr>
              <w:t>Partial</w:t>
            </w:r>
          </w:p>
        </w:tc>
        <w:tc>
          <w:tcPr>
            <w:tcW w:w="2499" w:type="dxa"/>
            <w:shd w:val="clear" w:color="auto" w:fill="FFFFFF" w:themeFill="background1"/>
            <w:vAlign w:val="center"/>
          </w:tcPr>
          <w:p w14:paraId="51BD6135" w14:textId="2E0FAB6D" w:rsidR="00F702D6" w:rsidRPr="00B74333" w:rsidRDefault="00F702D6">
            <w:pPr>
              <w:suppressAutoHyphens/>
              <w:spacing w:after="0"/>
              <w:ind w:right="129"/>
              <w:jc w:val="center"/>
              <w:rPr>
                <w:rFonts w:eastAsia="Times New Roman" w:cstheme="minorHAnsi"/>
              </w:rPr>
            </w:pPr>
            <w:proofErr w:type="spellStart"/>
            <w:r w:rsidRPr="00B74333">
              <w:rPr>
                <w:rFonts w:eastAsia="Times New Roman" w:cstheme="minorHAnsi"/>
              </w:rPr>
              <w:t>Katerini</w:t>
            </w:r>
            <w:proofErr w:type="spellEnd"/>
            <w:r w:rsidRPr="00B74333">
              <w:rPr>
                <w:rFonts w:eastAsia="Times New Roman" w:cstheme="minorHAnsi"/>
              </w:rPr>
              <w:t xml:space="preserve"> </w:t>
            </w:r>
            <w:r w:rsidR="00653DB9" w:rsidRPr="00B74333">
              <w:rPr>
                <w:rFonts w:eastAsia="Times New Roman" w:cstheme="minorHAnsi"/>
              </w:rPr>
              <w:t>–</w:t>
            </w:r>
            <w:r w:rsidRPr="00B74333">
              <w:rPr>
                <w:rFonts w:eastAsia="Times New Roman" w:cstheme="minorHAnsi"/>
              </w:rPr>
              <w:t xml:space="preserve"> </w:t>
            </w:r>
            <w:proofErr w:type="spellStart"/>
            <w:r w:rsidRPr="00B74333">
              <w:rPr>
                <w:rFonts w:eastAsia="Times New Roman" w:cstheme="minorHAnsi"/>
              </w:rPr>
              <w:t>Livadia</w:t>
            </w:r>
            <w:proofErr w:type="spellEnd"/>
          </w:p>
        </w:tc>
        <w:tc>
          <w:tcPr>
            <w:tcW w:w="996" w:type="dxa"/>
            <w:shd w:val="clear" w:color="auto" w:fill="FFFFFF" w:themeFill="background1"/>
            <w:vAlign w:val="center"/>
          </w:tcPr>
          <w:p w14:paraId="694721B7"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250</w:t>
            </w:r>
          </w:p>
        </w:tc>
        <w:tc>
          <w:tcPr>
            <w:tcW w:w="1734" w:type="dxa"/>
            <w:shd w:val="clear" w:color="auto" w:fill="FFFFFF" w:themeFill="background1"/>
            <w:vAlign w:val="center"/>
          </w:tcPr>
          <w:p w14:paraId="68E56629"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Moderate</w:t>
            </w:r>
          </w:p>
        </w:tc>
        <w:tc>
          <w:tcPr>
            <w:tcW w:w="1668" w:type="dxa"/>
            <w:shd w:val="clear" w:color="auto" w:fill="FFFFFF" w:themeFill="background1"/>
            <w:vAlign w:val="center"/>
          </w:tcPr>
          <w:p w14:paraId="438D1653"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Small</w:t>
            </w:r>
          </w:p>
        </w:tc>
      </w:tr>
      <w:tr w:rsidR="00F702D6" w:rsidRPr="00B74333" w14:paraId="6D4C72B9" w14:textId="77777777">
        <w:trPr>
          <w:trHeight w:val="417"/>
          <w:jc w:val="center"/>
        </w:trPr>
        <w:tc>
          <w:tcPr>
            <w:tcW w:w="1322" w:type="dxa"/>
            <w:shd w:val="clear" w:color="auto" w:fill="FFFFFF" w:themeFill="background1"/>
            <w:vAlign w:val="center"/>
          </w:tcPr>
          <w:p w14:paraId="51734A7D" w14:textId="77777777" w:rsidR="00F702D6" w:rsidRPr="00B74333" w:rsidRDefault="00F702D6">
            <w:pPr>
              <w:suppressAutoHyphens/>
              <w:spacing w:after="0"/>
              <w:jc w:val="center"/>
              <w:rPr>
                <w:rFonts w:cstheme="minorHAnsi"/>
              </w:rPr>
            </w:pPr>
            <w:r w:rsidRPr="00B74333">
              <w:rPr>
                <w:rFonts w:cstheme="minorHAnsi"/>
              </w:rPr>
              <w:t>Limited</w:t>
            </w:r>
          </w:p>
        </w:tc>
        <w:tc>
          <w:tcPr>
            <w:tcW w:w="2499" w:type="dxa"/>
            <w:shd w:val="clear" w:color="auto" w:fill="FFFFFF" w:themeFill="background1"/>
            <w:vAlign w:val="center"/>
          </w:tcPr>
          <w:p w14:paraId="4EFD753A" w14:textId="17471281" w:rsidR="00F702D6" w:rsidRPr="00B74333" w:rsidRDefault="00F702D6">
            <w:pPr>
              <w:suppressAutoHyphens/>
              <w:spacing w:after="0"/>
              <w:ind w:right="129"/>
              <w:jc w:val="center"/>
              <w:rPr>
                <w:rFonts w:eastAsia="Times New Roman" w:cstheme="minorHAnsi"/>
              </w:rPr>
            </w:pPr>
            <w:proofErr w:type="spellStart"/>
            <w:r w:rsidRPr="00B74333">
              <w:rPr>
                <w:rFonts w:eastAsia="Times New Roman" w:cstheme="minorHAnsi"/>
              </w:rPr>
              <w:t>Rapsani</w:t>
            </w:r>
            <w:proofErr w:type="spellEnd"/>
            <w:r w:rsidRPr="00B74333">
              <w:rPr>
                <w:rFonts w:eastAsia="Times New Roman" w:cstheme="minorHAnsi"/>
              </w:rPr>
              <w:t xml:space="preserve"> </w:t>
            </w:r>
            <w:r w:rsidR="00653DB9" w:rsidRPr="00B74333">
              <w:rPr>
                <w:rFonts w:eastAsia="Times New Roman" w:cstheme="minorHAnsi"/>
              </w:rPr>
              <w:t>–</w:t>
            </w:r>
            <w:r w:rsidRPr="00B74333">
              <w:rPr>
                <w:rFonts w:eastAsia="Times New Roman" w:cstheme="minorHAnsi"/>
              </w:rPr>
              <w:t xml:space="preserve"> </w:t>
            </w:r>
            <w:proofErr w:type="spellStart"/>
            <w:r w:rsidRPr="00B74333">
              <w:rPr>
                <w:rFonts w:eastAsia="Times New Roman" w:cstheme="minorHAnsi"/>
              </w:rPr>
              <w:t>Brallos</w:t>
            </w:r>
            <w:proofErr w:type="spellEnd"/>
          </w:p>
        </w:tc>
        <w:tc>
          <w:tcPr>
            <w:tcW w:w="996" w:type="dxa"/>
            <w:shd w:val="clear" w:color="auto" w:fill="FFFFFF" w:themeFill="background1"/>
            <w:vAlign w:val="center"/>
          </w:tcPr>
          <w:p w14:paraId="6C870769"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160</w:t>
            </w:r>
          </w:p>
        </w:tc>
        <w:tc>
          <w:tcPr>
            <w:tcW w:w="1734" w:type="dxa"/>
            <w:shd w:val="clear" w:color="auto" w:fill="FFFFFF" w:themeFill="background1"/>
            <w:vAlign w:val="center"/>
          </w:tcPr>
          <w:p w14:paraId="13344314"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Small</w:t>
            </w:r>
          </w:p>
        </w:tc>
        <w:tc>
          <w:tcPr>
            <w:tcW w:w="1668" w:type="dxa"/>
            <w:shd w:val="clear" w:color="auto" w:fill="FFFFFF" w:themeFill="background1"/>
            <w:vAlign w:val="center"/>
          </w:tcPr>
          <w:p w14:paraId="56FE1A86" w14:textId="77777777" w:rsidR="00F702D6" w:rsidRPr="00B74333" w:rsidRDefault="00F702D6">
            <w:pPr>
              <w:suppressAutoHyphens/>
              <w:spacing w:after="0"/>
              <w:ind w:right="129"/>
              <w:jc w:val="center"/>
              <w:rPr>
                <w:rFonts w:eastAsia="Times New Roman" w:cstheme="minorHAnsi"/>
              </w:rPr>
            </w:pPr>
            <w:r w:rsidRPr="00B74333">
              <w:rPr>
                <w:rFonts w:eastAsia="Times New Roman" w:cstheme="minorHAnsi"/>
              </w:rPr>
              <w:t>None</w:t>
            </w:r>
          </w:p>
        </w:tc>
      </w:tr>
    </w:tbl>
    <w:p w14:paraId="4FC31BF6" w14:textId="1F85412A" w:rsidR="00B2269D" w:rsidRPr="00B74333" w:rsidRDefault="00B2269D" w:rsidP="00F702D6">
      <w:pPr>
        <w:pStyle w:val="ListParagraph"/>
        <w:widowControl w:val="0"/>
        <w:suppressAutoHyphens/>
        <w:spacing w:after="120" w:line="360" w:lineRule="auto"/>
        <w:ind w:left="426"/>
        <w:jc w:val="both"/>
        <w:rPr>
          <w:rFonts w:cstheme="minorHAnsi"/>
          <w:color w:val="FF0000"/>
        </w:rPr>
      </w:pPr>
    </w:p>
    <w:p w14:paraId="3B183299" w14:textId="24B0593A" w:rsidR="00C1462A" w:rsidRPr="00B74333" w:rsidRDefault="00C1462A" w:rsidP="008A3E2F">
      <w:pPr>
        <w:pStyle w:val="Caption"/>
        <w:keepNext/>
        <w:spacing w:after="120"/>
        <w:ind w:left="425"/>
        <w:rPr>
          <w:rFonts w:asciiTheme="minorHAnsi" w:hAnsiTheme="minorHAnsi" w:cstheme="minorHAnsi"/>
          <w:sz w:val="20"/>
          <w:szCs w:val="20"/>
          <w:lang w:val="en-US"/>
        </w:rPr>
      </w:pPr>
      <w:r w:rsidRPr="00B74333">
        <w:rPr>
          <w:rFonts w:asciiTheme="minorHAnsi" w:hAnsiTheme="minorHAnsi" w:cstheme="minorHAnsi"/>
          <w:sz w:val="20"/>
          <w:szCs w:val="20"/>
          <w:lang w:val="en-US"/>
        </w:rPr>
        <w:t xml:space="preserve">Table </w:t>
      </w:r>
      <w:r w:rsidRPr="00B74333">
        <w:rPr>
          <w:rFonts w:asciiTheme="minorHAnsi" w:hAnsiTheme="minorHAnsi" w:cstheme="minorHAnsi"/>
          <w:sz w:val="20"/>
          <w:szCs w:val="20"/>
          <w:lang w:val="en-US"/>
        </w:rPr>
        <w:fldChar w:fldCharType="begin"/>
      </w:r>
      <w:r w:rsidRPr="00B74333">
        <w:rPr>
          <w:rFonts w:asciiTheme="minorHAnsi" w:hAnsiTheme="minorHAnsi" w:cstheme="minorHAnsi"/>
          <w:sz w:val="20"/>
          <w:szCs w:val="20"/>
          <w:lang w:val="en-US"/>
        </w:rPr>
        <w:instrText xml:space="preserve"> SEQ Table \* ARABIC </w:instrText>
      </w:r>
      <w:r w:rsidRPr="00B74333">
        <w:rPr>
          <w:rFonts w:asciiTheme="minorHAnsi" w:hAnsiTheme="minorHAnsi" w:cstheme="minorHAnsi"/>
          <w:sz w:val="20"/>
          <w:szCs w:val="20"/>
          <w:lang w:val="en-US"/>
        </w:rPr>
        <w:fldChar w:fldCharType="separate"/>
      </w:r>
      <w:r w:rsidR="00436FED" w:rsidRPr="00B74333">
        <w:rPr>
          <w:rFonts w:asciiTheme="minorHAnsi" w:hAnsiTheme="minorHAnsi" w:cstheme="minorHAnsi"/>
          <w:sz w:val="20"/>
          <w:szCs w:val="20"/>
          <w:lang w:val="en-US"/>
        </w:rPr>
        <w:t>2</w:t>
      </w:r>
      <w:r w:rsidRPr="00B74333">
        <w:rPr>
          <w:rFonts w:asciiTheme="minorHAnsi" w:hAnsiTheme="minorHAnsi" w:cstheme="minorHAnsi"/>
          <w:sz w:val="20"/>
          <w:szCs w:val="20"/>
          <w:lang w:val="en-US"/>
        </w:rPr>
        <w:fldChar w:fldCharType="end"/>
      </w:r>
      <w:r w:rsidRPr="00B74333">
        <w:rPr>
          <w:rFonts w:asciiTheme="minorHAnsi" w:hAnsiTheme="minorHAnsi" w:cstheme="minorHAnsi"/>
          <w:sz w:val="20"/>
          <w:szCs w:val="20"/>
          <w:lang w:val="en-US"/>
        </w:rPr>
        <w:t>:</w:t>
      </w:r>
      <w:r w:rsidR="00FB7066" w:rsidRPr="00B74333">
        <w:rPr>
          <w:rFonts w:asciiTheme="minorHAnsi" w:hAnsiTheme="minorHAnsi" w:cstheme="minorHAnsi"/>
          <w:sz w:val="20"/>
          <w:szCs w:val="20"/>
          <w:lang w:val="en-US"/>
        </w:rPr>
        <w:t xml:space="preserve"> The estimated cost of the duplication projects described in </w:t>
      </w:r>
      <w:r w:rsidR="00FB7066" w:rsidRPr="00B74333">
        <w:rPr>
          <w:rFonts w:asciiTheme="minorHAnsi" w:hAnsiTheme="minorHAnsi" w:cstheme="minorHAnsi"/>
          <w:sz w:val="20"/>
          <w:szCs w:val="20"/>
          <w:lang w:val="en-US"/>
        </w:rPr>
        <w:fldChar w:fldCharType="begin"/>
      </w:r>
      <w:r w:rsidR="00FB7066" w:rsidRPr="00B74333">
        <w:rPr>
          <w:rFonts w:asciiTheme="minorHAnsi" w:hAnsiTheme="minorHAnsi" w:cstheme="minorHAnsi"/>
          <w:sz w:val="20"/>
          <w:szCs w:val="20"/>
          <w:lang w:val="en-US"/>
        </w:rPr>
        <w:instrText xml:space="preserve"> REF _Ref163211327 \h </w:instrText>
      </w:r>
      <w:r w:rsidR="008A3E2F" w:rsidRPr="00B74333">
        <w:rPr>
          <w:rFonts w:asciiTheme="minorHAnsi" w:hAnsiTheme="minorHAnsi" w:cstheme="minorHAnsi"/>
          <w:sz w:val="20"/>
          <w:szCs w:val="20"/>
          <w:lang w:val="en-US"/>
        </w:rPr>
        <w:instrText xml:space="preserve"> \* MERGEFORMAT </w:instrText>
      </w:r>
      <w:r w:rsidR="00FB7066" w:rsidRPr="00B74333">
        <w:rPr>
          <w:rFonts w:asciiTheme="minorHAnsi" w:hAnsiTheme="minorHAnsi" w:cstheme="minorHAnsi"/>
          <w:sz w:val="20"/>
          <w:szCs w:val="20"/>
          <w:lang w:val="en-US"/>
        </w:rPr>
      </w:r>
      <w:r w:rsidR="00FB7066" w:rsidRPr="00B74333">
        <w:rPr>
          <w:rFonts w:asciiTheme="minorHAnsi" w:hAnsiTheme="minorHAnsi" w:cstheme="minorHAnsi"/>
          <w:sz w:val="20"/>
          <w:szCs w:val="20"/>
          <w:lang w:val="en-US"/>
        </w:rPr>
        <w:fldChar w:fldCharType="separate"/>
      </w:r>
      <w:r w:rsidR="00601092" w:rsidRPr="00B74333" w:rsidDel="00436FED">
        <w:rPr>
          <w:rFonts w:asciiTheme="minorHAnsi" w:hAnsiTheme="minorHAnsi" w:cstheme="minorHAnsi"/>
          <w:sz w:val="20"/>
          <w:szCs w:val="20"/>
          <w:lang w:val="en-US"/>
        </w:rPr>
        <w:t>Table 1</w:t>
      </w:r>
      <w:r w:rsidR="00FB7066" w:rsidRPr="00B74333">
        <w:rPr>
          <w:rFonts w:asciiTheme="minorHAnsi" w:hAnsiTheme="minorHAnsi" w:cstheme="minorHAnsi"/>
          <w:sz w:val="20"/>
          <w:szCs w:val="20"/>
          <w:lang w:val="en-US"/>
        </w:rPr>
        <w:fldChar w:fldCharType="end"/>
      </w:r>
    </w:p>
    <w:tbl>
      <w:tblPr>
        <w:tblW w:w="8221" w:type="dxa"/>
        <w:tblInd w:w="423" w:type="dxa"/>
        <w:tblBorders>
          <w:top w:val="single" w:sz="2" w:space="0" w:color="173262"/>
          <w:left w:val="single" w:sz="2" w:space="0" w:color="173262"/>
          <w:bottom w:val="single" w:sz="2" w:space="0" w:color="173262"/>
          <w:right w:val="single" w:sz="2" w:space="0" w:color="173262"/>
          <w:insideH w:val="single" w:sz="2" w:space="0" w:color="173262"/>
          <w:insideV w:val="single" w:sz="2" w:space="0" w:color="173262"/>
        </w:tblBorders>
        <w:tblCellMar>
          <w:left w:w="0" w:type="dxa"/>
          <w:right w:w="0" w:type="dxa"/>
        </w:tblCellMar>
        <w:tblLook w:val="0420" w:firstRow="1" w:lastRow="0" w:firstColumn="0" w:lastColumn="0" w:noHBand="0" w:noVBand="1"/>
      </w:tblPr>
      <w:tblGrid>
        <w:gridCol w:w="1842"/>
        <w:gridCol w:w="2552"/>
        <w:gridCol w:w="1417"/>
        <w:gridCol w:w="2410"/>
      </w:tblGrid>
      <w:tr w:rsidR="00E22139" w:rsidRPr="00B74333" w14:paraId="1C7BCBC7" w14:textId="77777777" w:rsidTr="001007C7">
        <w:trPr>
          <w:trHeight w:val="473"/>
          <w:tblHeader/>
        </w:trPr>
        <w:tc>
          <w:tcPr>
            <w:tcW w:w="1842" w:type="dxa"/>
            <w:shd w:val="clear" w:color="auto" w:fill="139586"/>
            <w:vAlign w:val="center"/>
          </w:tcPr>
          <w:p w14:paraId="3316EFB7" w14:textId="77777777" w:rsidR="00E22139" w:rsidRPr="00B74333" w:rsidRDefault="00E22139">
            <w:pPr>
              <w:suppressAutoHyphens/>
              <w:spacing w:after="0"/>
              <w:jc w:val="center"/>
              <w:rPr>
                <w:rFonts w:eastAsia="Times New Roman" w:cstheme="minorHAnsi"/>
                <w:b/>
                <w:color w:val="FFFFFF"/>
              </w:rPr>
            </w:pPr>
            <w:r w:rsidRPr="00B74333">
              <w:rPr>
                <w:rFonts w:eastAsia="Times New Roman" w:cstheme="minorHAnsi"/>
                <w:b/>
                <w:color w:val="FFFFFF" w:themeColor="background1"/>
              </w:rPr>
              <w:t>Expansion Project</w:t>
            </w:r>
          </w:p>
        </w:tc>
        <w:tc>
          <w:tcPr>
            <w:tcW w:w="2552" w:type="dxa"/>
            <w:shd w:val="clear" w:color="auto" w:fill="139586"/>
            <w:vAlign w:val="center"/>
          </w:tcPr>
          <w:p w14:paraId="11F7161A" w14:textId="77777777" w:rsidR="00E22139" w:rsidRPr="00B74333" w:rsidRDefault="00E22139">
            <w:pPr>
              <w:suppressAutoHyphens/>
              <w:spacing w:after="0"/>
              <w:jc w:val="center"/>
              <w:rPr>
                <w:rFonts w:eastAsia="Times New Roman" w:cstheme="minorHAnsi"/>
                <w:b/>
                <w:color w:val="FFFFFF" w:themeColor="background1"/>
              </w:rPr>
            </w:pPr>
            <w:r w:rsidRPr="00B74333">
              <w:rPr>
                <w:rFonts w:eastAsia="Times New Roman" w:cstheme="minorHAnsi"/>
                <w:b/>
                <w:color w:val="FFFFFF" w:themeColor="background1"/>
              </w:rPr>
              <w:t>Duplicated section</w:t>
            </w:r>
          </w:p>
        </w:tc>
        <w:tc>
          <w:tcPr>
            <w:tcW w:w="1417" w:type="dxa"/>
            <w:shd w:val="clear" w:color="auto" w:fill="139586"/>
            <w:vAlign w:val="center"/>
          </w:tcPr>
          <w:p w14:paraId="56E32EF5" w14:textId="531A455E" w:rsidR="00E22139" w:rsidRPr="00B74333" w:rsidRDefault="00E22139">
            <w:pPr>
              <w:suppressAutoHyphens/>
              <w:spacing w:after="0"/>
              <w:jc w:val="center"/>
              <w:rPr>
                <w:rFonts w:eastAsia="Times New Roman" w:cstheme="minorHAnsi"/>
                <w:b/>
                <w:color w:val="FFFFFF" w:themeColor="background1"/>
              </w:rPr>
            </w:pPr>
            <w:r w:rsidRPr="00B74333">
              <w:rPr>
                <w:rFonts w:eastAsia="Times New Roman" w:cstheme="minorHAnsi"/>
                <w:b/>
                <w:color w:val="FFFFFF" w:themeColor="background1"/>
              </w:rPr>
              <w:t>Length (km)</w:t>
            </w:r>
          </w:p>
        </w:tc>
        <w:tc>
          <w:tcPr>
            <w:tcW w:w="2410" w:type="dxa"/>
            <w:shd w:val="clear" w:color="auto" w:fill="139586"/>
            <w:vAlign w:val="center"/>
          </w:tcPr>
          <w:p w14:paraId="648D517B" w14:textId="77777777" w:rsidR="00E22139" w:rsidRPr="00B74333" w:rsidRDefault="00E22139">
            <w:pPr>
              <w:suppressAutoHyphens/>
              <w:spacing w:after="0"/>
              <w:jc w:val="center"/>
              <w:rPr>
                <w:rFonts w:eastAsia="Times New Roman" w:cstheme="minorHAnsi"/>
                <w:b/>
                <w:color w:val="FFFFFF"/>
              </w:rPr>
            </w:pPr>
            <w:r w:rsidRPr="00B74333">
              <w:rPr>
                <w:rFonts w:eastAsia="Times New Roman" w:cstheme="minorHAnsi"/>
                <w:b/>
                <w:color w:val="FFFFFF" w:themeColor="background1"/>
              </w:rPr>
              <w:t>Cost Estimation (mill. €)</w:t>
            </w:r>
          </w:p>
        </w:tc>
      </w:tr>
      <w:tr w:rsidR="00E22139" w:rsidRPr="00B74333" w14:paraId="7AE90945" w14:textId="77777777" w:rsidTr="008A3E2F">
        <w:trPr>
          <w:trHeight w:val="417"/>
        </w:trPr>
        <w:tc>
          <w:tcPr>
            <w:tcW w:w="1842" w:type="dxa"/>
            <w:shd w:val="clear" w:color="auto" w:fill="FFFFFF" w:themeFill="background1"/>
            <w:vAlign w:val="center"/>
          </w:tcPr>
          <w:p w14:paraId="544560F1" w14:textId="77777777" w:rsidR="00E22139" w:rsidRPr="00B74333" w:rsidRDefault="00E22139">
            <w:pPr>
              <w:suppressAutoHyphens/>
              <w:spacing w:after="0"/>
              <w:jc w:val="center"/>
              <w:rPr>
                <w:rFonts w:eastAsia="Times New Roman" w:cstheme="minorHAnsi"/>
              </w:rPr>
            </w:pPr>
            <w:r w:rsidRPr="00B74333">
              <w:rPr>
                <w:rFonts w:cstheme="minorHAnsi"/>
              </w:rPr>
              <w:t>Full</w:t>
            </w:r>
          </w:p>
        </w:tc>
        <w:tc>
          <w:tcPr>
            <w:tcW w:w="2552" w:type="dxa"/>
            <w:shd w:val="clear" w:color="auto" w:fill="FFFFFF" w:themeFill="background1"/>
            <w:vAlign w:val="center"/>
          </w:tcPr>
          <w:p w14:paraId="04A4DA9E" w14:textId="77777777" w:rsidR="00E22139" w:rsidRPr="00B74333" w:rsidRDefault="00E22139">
            <w:pPr>
              <w:suppressAutoHyphens/>
              <w:spacing w:after="0"/>
              <w:ind w:left="-90" w:right="-90"/>
              <w:jc w:val="center"/>
              <w:rPr>
                <w:rFonts w:eastAsia="Times New Roman" w:cstheme="minorHAnsi"/>
              </w:rPr>
            </w:pPr>
            <w:r w:rsidRPr="00B74333">
              <w:rPr>
                <w:rFonts w:eastAsia="Times New Roman" w:cstheme="minorHAnsi"/>
              </w:rPr>
              <w:t>Patima – Nea Messimvria</w:t>
            </w:r>
          </w:p>
        </w:tc>
        <w:tc>
          <w:tcPr>
            <w:tcW w:w="1417" w:type="dxa"/>
            <w:shd w:val="clear" w:color="auto" w:fill="FFFFFF" w:themeFill="background1"/>
            <w:vAlign w:val="center"/>
          </w:tcPr>
          <w:p w14:paraId="43638370" w14:textId="77777777" w:rsidR="00E22139" w:rsidRPr="00B74333" w:rsidRDefault="00E22139">
            <w:pPr>
              <w:suppressAutoHyphens/>
              <w:spacing w:after="0"/>
              <w:ind w:right="129"/>
              <w:jc w:val="center"/>
              <w:rPr>
                <w:rFonts w:eastAsia="Times New Roman" w:cstheme="minorHAnsi"/>
              </w:rPr>
            </w:pPr>
            <w:r w:rsidRPr="00B74333">
              <w:rPr>
                <w:rFonts w:eastAsia="Times New Roman" w:cstheme="minorHAnsi"/>
              </w:rPr>
              <w:t>410</w:t>
            </w:r>
          </w:p>
        </w:tc>
        <w:tc>
          <w:tcPr>
            <w:tcW w:w="2410" w:type="dxa"/>
            <w:shd w:val="clear" w:color="auto" w:fill="FFFFFF" w:themeFill="background1"/>
            <w:vAlign w:val="center"/>
          </w:tcPr>
          <w:p w14:paraId="5BB647B0" w14:textId="77777777" w:rsidR="00E22139" w:rsidRPr="00B74333" w:rsidRDefault="00E22139">
            <w:pPr>
              <w:suppressAutoHyphens/>
              <w:spacing w:after="0"/>
              <w:ind w:right="129"/>
              <w:jc w:val="center"/>
              <w:rPr>
                <w:rFonts w:eastAsia="Times New Roman" w:cstheme="minorHAnsi"/>
              </w:rPr>
            </w:pPr>
            <w:r w:rsidRPr="00B74333">
              <w:rPr>
                <w:rFonts w:eastAsia="Times New Roman" w:cstheme="minorHAnsi"/>
              </w:rPr>
              <w:t>574</w:t>
            </w:r>
          </w:p>
        </w:tc>
      </w:tr>
      <w:tr w:rsidR="00E22139" w:rsidRPr="00B74333" w14:paraId="0B69D408" w14:textId="77777777" w:rsidTr="008A3E2F">
        <w:trPr>
          <w:trHeight w:val="417"/>
        </w:trPr>
        <w:tc>
          <w:tcPr>
            <w:tcW w:w="1842" w:type="dxa"/>
            <w:shd w:val="clear" w:color="auto" w:fill="FFFFFF" w:themeFill="background1"/>
            <w:vAlign w:val="center"/>
          </w:tcPr>
          <w:p w14:paraId="59159034" w14:textId="77777777" w:rsidR="00E22139" w:rsidRPr="00B74333" w:rsidRDefault="00E22139">
            <w:pPr>
              <w:suppressAutoHyphens/>
              <w:spacing w:after="0"/>
              <w:jc w:val="center"/>
              <w:rPr>
                <w:rFonts w:eastAsia="Times New Roman" w:cstheme="minorHAnsi"/>
              </w:rPr>
            </w:pPr>
            <w:r w:rsidRPr="00B74333">
              <w:rPr>
                <w:rFonts w:cstheme="minorHAnsi"/>
              </w:rPr>
              <w:t>Partial</w:t>
            </w:r>
          </w:p>
        </w:tc>
        <w:tc>
          <w:tcPr>
            <w:tcW w:w="2552" w:type="dxa"/>
            <w:shd w:val="clear" w:color="auto" w:fill="FFFFFF" w:themeFill="background1"/>
            <w:vAlign w:val="center"/>
          </w:tcPr>
          <w:p w14:paraId="2B4A09B6" w14:textId="77777777" w:rsidR="00E22139" w:rsidRPr="00B74333" w:rsidRDefault="00E22139">
            <w:pPr>
              <w:suppressAutoHyphens/>
              <w:spacing w:after="0"/>
              <w:ind w:right="129"/>
              <w:jc w:val="center"/>
              <w:rPr>
                <w:rFonts w:eastAsia="Times New Roman" w:cstheme="minorHAnsi"/>
              </w:rPr>
            </w:pPr>
            <w:proofErr w:type="spellStart"/>
            <w:r w:rsidRPr="00B74333">
              <w:rPr>
                <w:rFonts w:eastAsia="Times New Roman" w:cstheme="minorHAnsi"/>
              </w:rPr>
              <w:t>Katerini</w:t>
            </w:r>
            <w:proofErr w:type="spellEnd"/>
            <w:r w:rsidRPr="00B74333">
              <w:rPr>
                <w:rFonts w:eastAsia="Times New Roman" w:cstheme="minorHAnsi"/>
              </w:rPr>
              <w:t xml:space="preserve"> - </w:t>
            </w:r>
            <w:proofErr w:type="spellStart"/>
            <w:r w:rsidRPr="00B74333">
              <w:rPr>
                <w:rFonts w:eastAsia="Times New Roman" w:cstheme="minorHAnsi"/>
              </w:rPr>
              <w:t>Livadia</w:t>
            </w:r>
            <w:proofErr w:type="spellEnd"/>
          </w:p>
        </w:tc>
        <w:tc>
          <w:tcPr>
            <w:tcW w:w="1417" w:type="dxa"/>
            <w:shd w:val="clear" w:color="auto" w:fill="FFFFFF" w:themeFill="background1"/>
            <w:vAlign w:val="center"/>
          </w:tcPr>
          <w:p w14:paraId="52635765" w14:textId="77777777" w:rsidR="00E22139" w:rsidRPr="00B74333" w:rsidRDefault="00E22139">
            <w:pPr>
              <w:suppressAutoHyphens/>
              <w:spacing w:after="0"/>
              <w:ind w:right="129"/>
              <w:jc w:val="center"/>
              <w:rPr>
                <w:rFonts w:eastAsia="Times New Roman" w:cstheme="minorHAnsi"/>
              </w:rPr>
            </w:pPr>
            <w:r w:rsidRPr="00B74333">
              <w:rPr>
                <w:rFonts w:eastAsia="Times New Roman" w:cstheme="minorHAnsi"/>
              </w:rPr>
              <w:t>250</w:t>
            </w:r>
          </w:p>
        </w:tc>
        <w:tc>
          <w:tcPr>
            <w:tcW w:w="2410" w:type="dxa"/>
            <w:shd w:val="clear" w:color="auto" w:fill="FFFFFF" w:themeFill="background1"/>
            <w:vAlign w:val="center"/>
          </w:tcPr>
          <w:p w14:paraId="481C9415" w14:textId="77777777" w:rsidR="00E22139" w:rsidRPr="00B74333" w:rsidRDefault="00E22139">
            <w:pPr>
              <w:suppressAutoHyphens/>
              <w:spacing w:after="0"/>
              <w:ind w:right="129"/>
              <w:jc w:val="center"/>
              <w:rPr>
                <w:rFonts w:eastAsia="Times New Roman" w:cstheme="minorHAnsi"/>
              </w:rPr>
            </w:pPr>
            <w:r w:rsidRPr="00B74333">
              <w:rPr>
                <w:rFonts w:eastAsia="Times New Roman" w:cstheme="minorHAnsi"/>
              </w:rPr>
              <w:t>350</w:t>
            </w:r>
          </w:p>
        </w:tc>
      </w:tr>
      <w:tr w:rsidR="00E22139" w:rsidRPr="00B74333" w14:paraId="4A36A134" w14:textId="77777777" w:rsidTr="008A3E2F">
        <w:trPr>
          <w:trHeight w:val="417"/>
        </w:trPr>
        <w:tc>
          <w:tcPr>
            <w:tcW w:w="1842" w:type="dxa"/>
            <w:shd w:val="clear" w:color="auto" w:fill="FFFFFF" w:themeFill="background1"/>
            <w:vAlign w:val="center"/>
          </w:tcPr>
          <w:p w14:paraId="75F7E7AE" w14:textId="77777777" w:rsidR="00E22139" w:rsidRPr="00B74333" w:rsidRDefault="00E22139">
            <w:pPr>
              <w:suppressAutoHyphens/>
              <w:spacing w:after="0"/>
              <w:jc w:val="center"/>
              <w:rPr>
                <w:rFonts w:cstheme="minorHAnsi"/>
              </w:rPr>
            </w:pPr>
            <w:r w:rsidRPr="00B74333">
              <w:rPr>
                <w:rFonts w:cstheme="minorHAnsi"/>
              </w:rPr>
              <w:t>Limited</w:t>
            </w:r>
          </w:p>
        </w:tc>
        <w:tc>
          <w:tcPr>
            <w:tcW w:w="2552" w:type="dxa"/>
            <w:shd w:val="clear" w:color="auto" w:fill="FFFFFF" w:themeFill="background1"/>
            <w:vAlign w:val="center"/>
          </w:tcPr>
          <w:p w14:paraId="428007EE" w14:textId="77777777" w:rsidR="00E22139" w:rsidRPr="00B74333" w:rsidRDefault="00E22139">
            <w:pPr>
              <w:suppressAutoHyphens/>
              <w:spacing w:after="0"/>
              <w:ind w:right="129"/>
              <w:jc w:val="center"/>
              <w:rPr>
                <w:rFonts w:eastAsia="Times New Roman" w:cstheme="minorHAnsi"/>
              </w:rPr>
            </w:pPr>
            <w:proofErr w:type="spellStart"/>
            <w:r w:rsidRPr="00B74333">
              <w:rPr>
                <w:rFonts w:eastAsia="Times New Roman" w:cstheme="minorHAnsi"/>
              </w:rPr>
              <w:t>Rapsani</w:t>
            </w:r>
            <w:proofErr w:type="spellEnd"/>
            <w:r w:rsidRPr="00B74333">
              <w:rPr>
                <w:rFonts w:eastAsia="Times New Roman" w:cstheme="minorHAnsi"/>
              </w:rPr>
              <w:t xml:space="preserve"> - </w:t>
            </w:r>
            <w:proofErr w:type="spellStart"/>
            <w:r w:rsidRPr="00B74333">
              <w:rPr>
                <w:rFonts w:eastAsia="Times New Roman" w:cstheme="minorHAnsi"/>
              </w:rPr>
              <w:t>Brallos</w:t>
            </w:r>
            <w:proofErr w:type="spellEnd"/>
          </w:p>
        </w:tc>
        <w:tc>
          <w:tcPr>
            <w:tcW w:w="1417" w:type="dxa"/>
            <w:shd w:val="clear" w:color="auto" w:fill="FFFFFF" w:themeFill="background1"/>
            <w:vAlign w:val="center"/>
          </w:tcPr>
          <w:p w14:paraId="44BD09E8" w14:textId="77777777" w:rsidR="00E22139" w:rsidRPr="00B74333" w:rsidRDefault="00E22139">
            <w:pPr>
              <w:suppressAutoHyphens/>
              <w:spacing w:after="0"/>
              <w:ind w:right="129"/>
              <w:jc w:val="center"/>
              <w:rPr>
                <w:rFonts w:eastAsia="Times New Roman" w:cstheme="minorHAnsi"/>
              </w:rPr>
            </w:pPr>
            <w:r w:rsidRPr="00B74333">
              <w:rPr>
                <w:rFonts w:eastAsia="Times New Roman" w:cstheme="minorHAnsi"/>
              </w:rPr>
              <w:t>160</w:t>
            </w:r>
          </w:p>
        </w:tc>
        <w:tc>
          <w:tcPr>
            <w:tcW w:w="2410" w:type="dxa"/>
            <w:shd w:val="clear" w:color="auto" w:fill="FFFFFF" w:themeFill="background1"/>
            <w:vAlign w:val="center"/>
          </w:tcPr>
          <w:p w14:paraId="2331D7F5" w14:textId="77777777" w:rsidR="00E22139" w:rsidRPr="00B74333" w:rsidRDefault="00E22139">
            <w:pPr>
              <w:suppressAutoHyphens/>
              <w:spacing w:after="0"/>
              <w:ind w:right="129"/>
              <w:jc w:val="center"/>
              <w:rPr>
                <w:rFonts w:eastAsia="Times New Roman" w:cstheme="minorHAnsi"/>
              </w:rPr>
            </w:pPr>
            <w:r w:rsidRPr="00B74333">
              <w:rPr>
                <w:rFonts w:eastAsia="Times New Roman" w:cstheme="minorHAnsi"/>
              </w:rPr>
              <w:t>224</w:t>
            </w:r>
          </w:p>
        </w:tc>
      </w:tr>
    </w:tbl>
    <w:p w14:paraId="070A314E" w14:textId="77777777" w:rsidR="00653DB9" w:rsidRPr="00B74333" w:rsidRDefault="00653DB9" w:rsidP="00F702D6">
      <w:pPr>
        <w:pStyle w:val="ListParagraph"/>
        <w:widowControl w:val="0"/>
        <w:suppressAutoHyphens/>
        <w:spacing w:after="120" w:line="360" w:lineRule="auto"/>
        <w:ind w:left="426"/>
        <w:jc w:val="both"/>
        <w:rPr>
          <w:rFonts w:cstheme="minorHAnsi"/>
          <w:color w:val="FF0000"/>
        </w:rPr>
      </w:pPr>
    </w:p>
    <w:p w14:paraId="22162AFE" w14:textId="05F860E3" w:rsidR="003D3760" w:rsidRPr="00B74333" w:rsidRDefault="003D3760" w:rsidP="008A3E2F">
      <w:pPr>
        <w:pStyle w:val="Caption"/>
        <w:keepNext/>
        <w:spacing w:after="120"/>
        <w:ind w:left="425"/>
        <w:rPr>
          <w:rFonts w:asciiTheme="minorHAnsi" w:hAnsiTheme="minorHAnsi" w:cstheme="minorHAnsi"/>
          <w:sz w:val="20"/>
          <w:szCs w:val="20"/>
          <w:lang w:val="en-US"/>
        </w:rPr>
      </w:pPr>
      <w:r w:rsidRPr="00B74333">
        <w:rPr>
          <w:rFonts w:asciiTheme="minorHAnsi" w:hAnsiTheme="minorHAnsi" w:cstheme="minorHAnsi"/>
          <w:sz w:val="20"/>
          <w:szCs w:val="20"/>
          <w:lang w:val="en-US"/>
        </w:rPr>
        <w:t xml:space="preserve">Table </w:t>
      </w:r>
      <w:r w:rsidRPr="00B74333">
        <w:rPr>
          <w:rFonts w:asciiTheme="minorHAnsi" w:hAnsiTheme="minorHAnsi" w:cstheme="minorHAnsi"/>
          <w:sz w:val="20"/>
          <w:szCs w:val="20"/>
          <w:lang w:val="en-US"/>
        </w:rPr>
        <w:fldChar w:fldCharType="begin"/>
      </w:r>
      <w:r w:rsidRPr="00B74333">
        <w:rPr>
          <w:rFonts w:asciiTheme="minorHAnsi" w:hAnsiTheme="minorHAnsi" w:cstheme="minorHAnsi"/>
          <w:sz w:val="20"/>
          <w:szCs w:val="20"/>
          <w:lang w:val="en-US"/>
        </w:rPr>
        <w:instrText xml:space="preserve"> SEQ Table \* ARABIC </w:instrText>
      </w:r>
      <w:r w:rsidRPr="00B74333">
        <w:rPr>
          <w:rFonts w:asciiTheme="minorHAnsi" w:hAnsiTheme="minorHAnsi" w:cstheme="minorHAnsi"/>
          <w:sz w:val="20"/>
          <w:szCs w:val="20"/>
          <w:lang w:val="en-US"/>
        </w:rPr>
        <w:fldChar w:fldCharType="separate"/>
      </w:r>
      <w:r w:rsidR="00436FED" w:rsidRPr="00B74333">
        <w:rPr>
          <w:rFonts w:asciiTheme="minorHAnsi" w:hAnsiTheme="minorHAnsi" w:cstheme="minorHAnsi"/>
          <w:sz w:val="20"/>
          <w:szCs w:val="20"/>
          <w:lang w:val="en-US"/>
        </w:rPr>
        <w:t>3</w:t>
      </w:r>
      <w:r w:rsidRPr="00B74333">
        <w:rPr>
          <w:rFonts w:asciiTheme="minorHAnsi" w:hAnsiTheme="minorHAnsi" w:cstheme="minorHAnsi"/>
          <w:sz w:val="20"/>
          <w:szCs w:val="20"/>
          <w:lang w:val="en-US"/>
        </w:rPr>
        <w:fldChar w:fldCharType="end"/>
      </w:r>
      <w:r w:rsidRPr="00B74333">
        <w:rPr>
          <w:rFonts w:asciiTheme="minorHAnsi" w:hAnsiTheme="minorHAnsi" w:cstheme="minorHAnsi"/>
          <w:sz w:val="20"/>
          <w:szCs w:val="20"/>
          <w:lang w:val="en-US"/>
        </w:rPr>
        <w:t>:</w:t>
      </w:r>
      <w:r w:rsidR="00302409" w:rsidRPr="00B74333">
        <w:rPr>
          <w:rFonts w:asciiTheme="minorHAnsi" w:hAnsiTheme="minorHAnsi" w:cstheme="minorHAnsi"/>
          <w:sz w:val="20"/>
          <w:szCs w:val="20"/>
          <w:lang w:val="en-US"/>
        </w:rPr>
        <w:t xml:space="preserve"> The estimated cost of the CS upgrades described in </w:t>
      </w:r>
      <w:r w:rsidR="00302409" w:rsidRPr="00B74333">
        <w:rPr>
          <w:rFonts w:asciiTheme="minorHAnsi" w:hAnsiTheme="minorHAnsi" w:cstheme="minorHAnsi"/>
          <w:sz w:val="20"/>
          <w:szCs w:val="20"/>
          <w:lang w:val="en-US"/>
        </w:rPr>
        <w:fldChar w:fldCharType="begin"/>
      </w:r>
      <w:r w:rsidR="00302409" w:rsidRPr="00B74333">
        <w:rPr>
          <w:rFonts w:asciiTheme="minorHAnsi" w:hAnsiTheme="minorHAnsi" w:cstheme="minorHAnsi"/>
          <w:sz w:val="20"/>
          <w:szCs w:val="20"/>
          <w:lang w:val="en-US"/>
        </w:rPr>
        <w:instrText xml:space="preserve"> REF _Ref163211327 \h </w:instrText>
      </w:r>
      <w:r w:rsidR="008A3E2F" w:rsidRPr="00B74333">
        <w:rPr>
          <w:rFonts w:asciiTheme="minorHAnsi" w:hAnsiTheme="minorHAnsi" w:cstheme="minorHAnsi"/>
          <w:sz w:val="20"/>
          <w:szCs w:val="20"/>
          <w:lang w:val="en-US"/>
        </w:rPr>
        <w:instrText xml:space="preserve"> \* MERGEFORMAT </w:instrText>
      </w:r>
      <w:r w:rsidR="00302409" w:rsidRPr="00B74333">
        <w:rPr>
          <w:rFonts w:asciiTheme="minorHAnsi" w:hAnsiTheme="minorHAnsi" w:cstheme="minorHAnsi"/>
          <w:sz w:val="20"/>
          <w:szCs w:val="20"/>
          <w:lang w:val="en-US"/>
        </w:rPr>
      </w:r>
      <w:r w:rsidR="00302409" w:rsidRPr="00B74333">
        <w:rPr>
          <w:rFonts w:asciiTheme="minorHAnsi" w:hAnsiTheme="minorHAnsi" w:cstheme="minorHAnsi"/>
          <w:sz w:val="20"/>
          <w:szCs w:val="20"/>
          <w:lang w:val="en-US"/>
        </w:rPr>
        <w:fldChar w:fldCharType="separate"/>
      </w:r>
      <w:r w:rsidR="00601092" w:rsidRPr="00B74333" w:rsidDel="00436FED">
        <w:rPr>
          <w:rFonts w:asciiTheme="minorHAnsi" w:hAnsiTheme="minorHAnsi" w:cstheme="minorHAnsi"/>
          <w:sz w:val="20"/>
          <w:szCs w:val="20"/>
          <w:lang w:val="en-US"/>
        </w:rPr>
        <w:t>Table 1</w:t>
      </w:r>
      <w:r w:rsidR="00302409" w:rsidRPr="00B74333">
        <w:rPr>
          <w:rFonts w:asciiTheme="minorHAnsi" w:hAnsiTheme="minorHAnsi" w:cstheme="minorHAnsi"/>
          <w:sz w:val="20"/>
          <w:szCs w:val="20"/>
          <w:lang w:val="en-US"/>
        </w:rPr>
        <w:fldChar w:fldCharType="end"/>
      </w:r>
    </w:p>
    <w:tbl>
      <w:tblPr>
        <w:tblW w:w="8221" w:type="dxa"/>
        <w:tblInd w:w="423" w:type="dxa"/>
        <w:tblBorders>
          <w:top w:val="single" w:sz="2" w:space="0" w:color="173262"/>
          <w:left w:val="single" w:sz="2" w:space="0" w:color="173262"/>
          <w:bottom w:val="single" w:sz="2" w:space="0" w:color="173262"/>
          <w:right w:val="single" w:sz="2" w:space="0" w:color="173262"/>
          <w:insideH w:val="single" w:sz="2" w:space="0" w:color="173262"/>
          <w:insideV w:val="single" w:sz="2" w:space="0" w:color="173262"/>
        </w:tblBorders>
        <w:tblCellMar>
          <w:left w:w="0" w:type="dxa"/>
          <w:right w:w="0" w:type="dxa"/>
        </w:tblCellMar>
        <w:tblLook w:val="0420" w:firstRow="1" w:lastRow="0" w:firstColumn="0" w:lastColumn="0" w:noHBand="0" w:noVBand="1"/>
      </w:tblPr>
      <w:tblGrid>
        <w:gridCol w:w="1842"/>
        <w:gridCol w:w="2410"/>
        <w:gridCol w:w="1559"/>
        <w:gridCol w:w="2410"/>
      </w:tblGrid>
      <w:tr w:rsidR="00A2531B" w:rsidRPr="00B74333" w14:paraId="30307796" w14:textId="77777777" w:rsidTr="001007C7">
        <w:trPr>
          <w:trHeight w:val="755"/>
          <w:tblHeader/>
        </w:trPr>
        <w:tc>
          <w:tcPr>
            <w:tcW w:w="1842" w:type="dxa"/>
            <w:shd w:val="clear" w:color="auto" w:fill="139586"/>
            <w:vAlign w:val="center"/>
          </w:tcPr>
          <w:p w14:paraId="18BAC370" w14:textId="77777777" w:rsidR="003D3760" w:rsidRPr="00B74333" w:rsidRDefault="003D3760">
            <w:pPr>
              <w:suppressAutoHyphens/>
              <w:spacing w:after="0"/>
              <w:jc w:val="center"/>
              <w:rPr>
                <w:rFonts w:eastAsia="Times New Roman" w:cstheme="minorHAnsi"/>
                <w:b/>
                <w:color w:val="FFFFFF"/>
              </w:rPr>
            </w:pPr>
            <w:r w:rsidRPr="00B74333">
              <w:rPr>
                <w:rFonts w:eastAsia="Times New Roman" w:cstheme="minorHAnsi"/>
                <w:b/>
                <w:color w:val="FFFFFF" w:themeColor="background1"/>
              </w:rPr>
              <w:t>Upgrade of Nea Messimvria CS</w:t>
            </w:r>
          </w:p>
        </w:tc>
        <w:tc>
          <w:tcPr>
            <w:tcW w:w="2410" w:type="dxa"/>
            <w:shd w:val="clear" w:color="auto" w:fill="139586"/>
            <w:vAlign w:val="center"/>
          </w:tcPr>
          <w:p w14:paraId="4FE857A9" w14:textId="77777777" w:rsidR="003D3760" w:rsidRPr="00B74333" w:rsidRDefault="003D3760">
            <w:pPr>
              <w:suppressAutoHyphens/>
              <w:spacing w:after="0"/>
              <w:jc w:val="center"/>
              <w:rPr>
                <w:rFonts w:eastAsia="Times New Roman" w:cstheme="minorHAnsi"/>
                <w:b/>
                <w:color w:val="FFFFFF"/>
              </w:rPr>
            </w:pPr>
            <w:r w:rsidRPr="00B74333">
              <w:rPr>
                <w:rFonts w:eastAsia="Times New Roman" w:cstheme="minorHAnsi"/>
                <w:b/>
                <w:color w:val="FFFFFF" w:themeColor="background1"/>
              </w:rPr>
              <w:t>Cost Estimation (mill. €)</w:t>
            </w:r>
          </w:p>
        </w:tc>
        <w:tc>
          <w:tcPr>
            <w:tcW w:w="1559" w:type="dxa"/>
            <w:shd w:val="clear" w:color="auto" w:fill="139586"/>
            <w:vAlign w:val="center"/>
          </w:tcPr>
          <w:p w14:paraId="1F77BC2C" w14:textId="77777777" w:rsidR="003D3760" w:rsidRPr="00B74333" w:rsidRDefault="003D3760">
            <w:pPr>
              <w:suppressAutoHyphens/>
              <w:spacing w:after="0"/>
              <w:jc w:val="center"/>
              <w:rPr>
                <w:rFonts w:eastAsia="Times New Roman" w:cstheme="minorHAnsi"/>
                <w:b/>
                <w:color w:val="FFFFFF"/>
              </w:rPr>
            </w:pPr>
            <w:r w:rsidRPr="00B74333">
              <w:rPr>
                <w:rFonts w:eastAsia="Times New Roman" w:cstheme="minorHAnsi"/>
                <w:b/>
                <w:color w:val="FFFFFF" w:themeColor="background1"/>
              </w:rPr>
              <w:t xml:space="preserve">Upgrade of </w:t>
            </w:r>
            <w:proofErr w:type="spellStart"/>
            <w:r w:rsidRPr="00B74333">
              <w:rPr>
                <w:rFonts w:eastAsia="Times New Roman" w:cstheme="minorHAnsi"/>
                <w:b/>
                <w:color w:val="FFFFFF" w:themeColor="background1"/>
              </w:rPr>
              <w:t>Ampelia</w:t>
            </w:r>
            <w:proofErr w:type="spellEnd"/>
            <w:r w:rsidRPr="00B74333">
              <w:rPr>
                <w:rFonts w:eastAsia="Times New Roman" w:cstheme="minorHAnsi"/>
                <w:b/>
                <w:color w:val="FFFFFF" w:themeColor="background1"/>
              </w:rPr>
              <w:t xml:space="preserve"> CS</w:t>
            </w:r>
          </w:p>
        </w:tc>
        <w:tc>
          <w:tcPr>
            <w:tcW w:w="2410" w:type="dxa"/>
            <w:shd w:val="clear" w:color="auto" w:fill="139586"/>
            <w:vAlign w:val="center"/>
          </w:tcPr>
          <w:p w14:paraId="4F7AAC4A" w14:textId="77777777" w:rsidR="003D3760" w:rsidRPr="00B74333" w:rsidRDefault="003D3760">
            <w:pPr>
              <w:suppressAutoHyphens/>
              <w:spacing w:after="0"/>
              <w:jc w:val="center"/>
              <w:rPr>
                <w:rFonts w:eastAsia="Times New Roman" w:cstheme="minorHAnsi"/>
                <w:b/>
                <w:color w:val="FFFFFF"/>
              </w:rPr>
            </w:pPr>
            <w:r w:rsidRPr="00B74333">
              <w:rPr>
                <w:rFonts w:eastAsia="Times New Roman" w:cstheme="minorHAnsi"/>
                <w:b/>
                <w:color w:val="FFFFFF" w:themeColor="background1"/>
              </w:rPr>
              <w:t>Cost Estimation (mill. €)</w:t>
            </w:r>
          </w:p>
        </w:tc>
      </w:tr>
      <w:tr w:rsidR="003D3760" w:rsidRPr="00B74333" w14:paraId="6AB25DB5" w14:textId="77777777" w:rsidTr="008A3E2F">
        <w:trPr>
          <w:trHeight w:val="417"/>
        </w:trPr>
        <w:tc>
          <w:tcPr>
            <w:tcW w:w="1842" w:type="dxa"/>
            <w:shd w:val="clear" w:color="auto" w:fill="FFFFFF" w:themeFill="background1"/>
            <w:vAlign w:val="center"/>
          </w:tcPr>
          <w:p w14:paraId="4E689420" w14:textId="77777777" w:rsidR="003D3760" w:rsidRPr="00B74333" w:rsidRDefault="003D3760">
            <w:pPr>
              <w:suppressAutoHyphens/>
              <w:spacing w:after="0"/>
              <w:jc w:val="center"/>
              <w:rPr>
                <w:rFonts w:cstheme="minorHAnsi"/>
              </w:rPr>
            </w:pPr>
            <w:r w:rsidRPr="00B74333">
              <w:rPr>
                <w:rFonts w:eastAsia="Times New Roman" w:cstheme="minorHAnsi"/>
              </w:rPr>
              <w:t>Considerable</w:t>
            </w:r>
          </w:p>
        </w:tc>
        <w:tc>
          <w:tcPr>
            <w:tcW w:w="2410" w:type="dxa"/>
            <w:shd w:val="clear" w:color="auto" w:fill="FFFFFF" w:themeFill="background1"/>
            <w:vAlign w:val="center"/>
          </w:tcPr>
          <w:p w14:paraId="1D077947" w14:textId="77777777" w:rsidR="003D3760" w:rsidRPr="00B74333" w:rsidRDefault="003D3760">
            <w:pPr>
              <w:suppressAutoHyphens/>
              <w:spacing w:after="0"/>
              <w:ind w:right="129"/>
              <w:jc w:val="center"/>
              <w:rPr>
                <w:rFonts w:eastAsia="Times New Roman" w:cstheme="minorHAnsi"/>
              </w:rPr>
            </w:pPr>
            <w:r w:rsidRPr="00B74333">
              <w:rPr>
                <w:rFonts w:eastAsia="Times New Roman" w:cstheme="minorHAnsi"/>
              </w:rPr>
              <w:t>67.5</w:t>
            </w:r>
          </w:p>
        </w:tc>
        <w:tc>
          <w:tcPr>
            <w:tcW w:w="1559" w:type="dxa"/>
            <w:shd w:val="clear" w:color="auto" w:fill="FFFFFF" w:themeFill="background1"/>
            <w:vAlign w:val="center"/>
          </w:tcPr>
          <w:p w14:paraId="42C4509D" w14:textId="77777777" w:rsidR="003D3760" w:rsidRPr="00B74333" w:rsidRDefault="003D3760">
            <w:pPr>
              <w:suppressAutoHyphens/>
              <w:spacing w:after="0"/>
              <w:jc w:val="center"/>
              <w:rPr>
                <w:rFonts w:eastAsia="Times New Roman" w:cstheme="minorHAnsi"/>
              </w:rPr>
            </w:pPr>
            <w:r w:rsidRPr="00B74333">
              <w:rPr>
                <w:rFonts w:eastAsia="Times New Roman" w:cstheme="minorHAnsi"/>
              </w:rPr>
              <w:t>Considerable</w:t>
            </w:r>
          </w:p>
        </w:tc>
        <w:tc>
          <w:tcPr>
            <w:tcW w:w="2410" w:type="dxa"/>
            <w:shd w:val="clear" w:color="auto" w:fill="FFFFFF" w:themeFill="background1"/>
            <w:vAlign w:val="center"/>
          </w:tcPr>
          <w:p w14:paraId="00557D3E" w14:textId="77777777" w:rsidR="003D3760" w:rsidRPr="00B74333" w:rsidRDefault="003D3760">
            <w:pPr>
              <w:suppressAutoHyphens/>
              <w:spacing w:after="0"/>
              <w:ind w:right="129"/>
              <w:jc w:val="center"/>
              <w:rPr>
                <w:rFonts w:eastAsia="Times New Roman" w:cstheme="minorHAnsi"/>
              </w:rPr>
            </w:pPr>
            <w:r w:rsidRPr="00B74333">
              <w:rPr>
                <w:rFonts w:eastAsia="Times New Roman" w:cstheme="minorHAnsi"/>
              </w:rPr>
              <w:t>60</w:t>
            </w:r>
          </w:p>
        </w:tc>
      </w:tr>
      <w:tr w:rsidR="003D3760" w:rsidRPr="00B74333" w14:paraId="11DD0E8A" w14:textId="77777777" w:rsidTr="008A3E2F">
        <w:trPr>
          <w:trHeight w:val="417"/>
        </w:trPr>
        <w:tc>
          <w:tcPr>
            <w:tcW w:w="1842" w:type="dxa"/>
            <w:shd w:val="clear" w:color="auto" w:fill="FFFFFF" w:themeFill="background1"/>
            <w:vAlign w:val="center"/>
          </w:tcPr>
          <w:p w14:paraId="57C1CCB5" w14:textId="77777777" w:rsidR="003D3760" w:rsidRPr="00B74333" w:rsidRDefault="003D3760">
            <w:pPr>
              <w:suppressAutoHyphens/>
              <w:spacing w:after="0"/>
              <w:jc w:val="center"/>
              <w:rPr>
                <w:rFonts w:cstheme="minorHAnsi"/>
              </w:rPr>
            </w:pPr>
            <w:r w:rsidRPr="00B74333">
              <w:rPr>
                <w:rFonts w:eastAsia="Times New Roman" w:cstheme="minorHAnsi"/>
              </w:rPr>
              <w:t>Moderate</w:t>
            </w:r>
          </w:p>
        </w:tc>
        <w:tc>
          <w:tcPr>
            <w:tcW w:w="2410" w:type="dxa"/>
            <w:shd w:val="clear" w:color="auto" w:fill="FFFFFF" w:themeFill="background1"/>
            <w:vAlign w:val="center"/>
          </w:tcPr>
          <w:p w14:paraId="40D72FD1" w14:textId="77777777" w:rsidR="003D3760" w:rsidRPr="00B74333" w:rsidRDefault="003D3760">
            <w:pPr>
              <w:suppressAutoHyphens/>
              <w:spacing w:after="0"/>
              <w:ind w:right="129"/>
              <w:jc w:val="center"/>
              <w:rPr>
                <w:rFonts w:eastAsia="Times New Roman" w:cstheme="minorHAnsi"/>
              </w:rPr>
            </w:pPr>
            <w:r w:rsidRPr="00B74333">
              <w:rPr>
                <w:rFonts w:eastAsia="Times New Roman" w:cstheme="minorHAnsi"/>
              </w:rPr>
              <w:t>45</w:t>
            </w:r>
          </w:p>
        </w:tc>
        <w:tc>
          <w:tcPr>
            <w:tcW w:w="1559" w:type="dxa"/>
            <w:shd w:val="clear" w:color="auto" w:fill="FFFFFF" w:themeFill="background1"/>
            <w:vAlign w:val="center"/>
          </w:tcPr>
          <w:p w14:paraId="1A524CA1" w14:textId="77777777" w:rsidR="003D3760" w:rsidRPr="00B74333" w:rsidRDefault="003D3760">
            <w:pPr>
              <w:suppressAutoHyphens/>
              <w:spacing w:after="0"/>
              <w:jc w:val="center"/>
              <w:rPr>
                <w:rFonts w:eastAsia="Times New Roman" w:cstheme="minorHAnsi"/>
              </w:rPr>
            </w:pPr>
            <w:r w:rsidRPr="00B74333">
              <w:rPr>
                <w:rFonts w:eastAsia="Times New Roman" w:cstheme="minorHAnsi"/>
              </w:rPr>
              <w:t>Moderate</w:t>
            </w:r>
          </w:p>
        </w:tc>
        <w:tc>
          <w:tcPr>
            <w:tcW w:w="2410" w:type="dxa"/>
            <w:shd w:val="clear" w:color="auto" w:fill="FFFFFF" w:themeFill="background1"/>
            <w:vAlign w:val="center"/>
          </w:tcPr>
          <w:p w14:paraId="62527EF3" w14:textId="77777777" w:rsidR="003D3760" w:rsidRPr="00B74333" w:rsidRDefault="003D3760">
            <w:pPr>
              <w:suppressAutoHyphens/>
              <w:spacing w:after="0"/>
              <w:ind w:right="129"/>
              <w:jc w:val="center"/>
              <w:rPr>
                <w:rFonts w:eastAsia="Times New Roman" w:cstheme="minorHAnsi"/>
              </w:rPr>
            </w:pPr>
            <w:r w:rsidRPr="00B74333">
              <w:rPr>
                <w:rFonts w:eastAsia="Times New Roman" w:cstheme="minorHAnsi"/>
              </w:rPr>
              <w:t>30</w:t>
            </w:r>
          </w:p>
        </w:tc>
      </w:tr>
      <w:tr w:rsidR="003D3760" w:rsidRPr="00B74333" w14:paraId="6861C642" w14:textId="77777777" w:rsidTr="008A3E2F">
        <w:trPr>
          <w:trHeight w:val="417"/>
        </w:trPr>
        <w:tc>
          <w:tcPr>
            <w:tcW w:w="1842" w:type="dxa"/>
            <w:shd w:val="clear" w:color="auto" w:fill="FFFFFF" w:themeFill="background1"/>
            <w:vAlign w:val="center"/>
          </w:tcPr>
          <w:p w14:paraId="68838AF0" w14:textId="77777777" w:rsidR="003D3760" w:rsidRPr="00B74333" w:rsidRDefault="003D3760">
            <w:pPr>
              <w:suppressAutoHyphens/>
              <w:spacing w:after="0"/>
              <w:jc w:val="center"/>
              <w:rPr>
                <w:rFonts w:cstheme="minorHAnsi"/>
              </w:rPr>
            </w:pPr>
            <w:r w:rsidRPr="00B74333">
              <w:rPr>
                <w:rFonts w:eastAsia="Times New Roman" w:cstheme="minorHAnsi"/>
              </w:rPr>
              <w:t>Small</w:t>
            </w:r>
          </w:p>
        </w:tc>
        <w:tc>
          <w:tcPr>
            <w:tcW w:w="2410" w:type="dxa"/>
            <w:shd w:val="clear" w:color="auto" w:fill="FFFFFF" w:themeFill="background1"/>
            <w:vAlign w:val="center"/>
          </w:tcPr>
          <w:p w14:paraId="19760BFB" w14:textId="77777777" w:rsidR="003D3760" w:rsidRPr="00B74333" w:rsidRDefault="003D3760">
            <w:pPr>
              <w:suppressAutoHyphens/>
              <w:spacing w:after="0"/>
              <w:ind w:right="129"/>
              <w:jc w:val="center"/>
              <w:rPr>
                <w:rFonts w:eastAsia="Times New Roman" w:cstheme="minorHAnsi"/>
              </w:rPr>
            </w:pPr>
            <w:r w:rsidRPr="00B74333">
              <w:rPr>
                <w:rFonts w:eastAsia="Times New Roman" w:cstheme="minorHAnsi"/>
              </w:rPr>
              <w:t>22.5</w:t>
            </w:r>
          </w:p>
        </w:tc>
        <w:tc>
          <w:tcPr>
            <w:tcW w:w="1559" w:type="dxa"/>
            <w:shd w:val="clear" w:color="auto" w:fill="FFFFFF" w:themeFill="background1"/>
            <w:vAlign w:val="center"/>
          </w:tcPr>
          <w:p w14:paraId="60B65A26" w14:textId="77777777" w:rsidR="003D3760" w:rsidRPr="00B74333" w:rsidRDefault="003D3760">
            <w:pPr>
              <w:suppressAutoHyphens/>
              <w:spacing w:after="0"/>
              <w:jc w:val="center"/>
              <w:rPr>
                <w:rFonts w:eastAsia="Times New Roman" w:cstheme="minorHAnsi"/>
              </w:rPr>
            </w:pPr>
            <w:r w:rsidRPr="00B74333">
              <w:rPr>
                <w:rFonts w:eastAsia="Times New Roman" w:cstheme="minorHAnsi"/>
              </w:rPr>
              <w:t>None</w:t>
            </w:r>
          </w:p>
        </w:tc>
        <w:tc>
          <w:tcPr>
            <w:tcW w:w="2410" w:type="dxa"/>
            <w:shd w:val="clear" w:color="auto" w:fill="FFFFFF" w:themeFill="background1"/>
            <w:vAlign w:val="center"/>
          </w:tcPr>
          <w:p w14:paraId="4EAD45F6" w14:textId="77777777" w:rsidR="003D3760" w:rsidRPr="00B74333" w:rsidRDefault="003D3760">
            <w:pPr>
              <w:suppressAutoHyphens/>
              <w:spacing w:after="0"/>
              <w:ind w:right="129"/>
              <w:jc w:val="center"/>
              <w:rPr>
                <w:rFonts w:eastAsia="Times New Roman" w:cstheme="minorHAnsi"/>
              </w:rPr>
            </w:pPr>
            <w:r w:rsidRPr="00B74333">
              <w:rPr>
                <w:rFonts w:eastAsia="Times New Roman" w:cstheme="minorHAnsi"/>
              </w:rPr>
              <w:t>-</w:t>
            </w:r>
          </w:p>
        </w:tc>
      </w:tr>
    </w:tbl>
    <w:p w14:paraId="3AA87BB2" w14:textId="77777777" w:rsidR="00FB7066" w:rsidRPr="00B74333" w:rsidRDefault="00FB7066" w:rsidP="00F702D6">
      <w:pPr>
        <w:pStyle w:val="ListParagraph"/>
        <w:widowControl w:val="0"/>
        <w:suppressAutoHyphens/>
        <w:spacing w:after="120" w:line="360" w:lineRule="auto"/>
        <w:ind w:left="426"/>
        <w:jc w:val="both"/>
        <w:rPr>
          <w:rFonts w:cstheme="minorHAnsi"/>
          <w:color w:val="FF0000"/>
        </w:rPr>
      </w:pPr>
    </w:p>
    <w:p w14:paraId="6EDEA56F" w14:textId="6E2E4876" w:rsidR="000A6F0B" w:rsidRPr="00B74333" w:rsidRDefault="00801B8F" w:rsidP="001D6147">
      <w:pPr>
        <w:pStyle w:val="ListParagraph"/>
        <w:widowControl w:val="0"/>
        <w:suppressAutoHyphens/>
        <w:spacing w:after="120" w:line="360" w:lineRule="auto"/>
        <w:ind w:left="426"/>
        <w:jc w:val="both"/>
        <w:rPr>
          <w:rFonts w:cstheme="minorHAnsi"/>
        </w:rPr>
      </w:pPr>
      <w:proofErr w:type="gramStart"/>
      <w:r w:rsidRPr="00B74333">
        <w:rPr>
          <w:rFonts w:cstheme="minorHAnsi"/>
        </w:rPr>
        <w:t>In order to</w:t>
      </w:r>
      <w:proofErr w:type="gramEnd"/>
      <w:r w:rsidRPr="00B74333">
        <w:rPr>
          <w:rFonts w:cstheme="minorHAnsi"/>
        </w:rPr>
        <w:t xml:space="preserve"> estimate the final cost of the expansion projects, the cost of the CSs upgrades must be added to the duplication cost per expansion project (Full, Partial or Limited). However, this cost can be accurately estimated only after the submission of the binding requests since the upgrade of the CSs is strongly dependent on the actual capacity requested per entry/exit point.</w:t>
      </w:r>
      <w:r w:rsidR="00DE37F8" w:rsidRPr="00B74333">
        <w:rPr>
          <w:rFonts w:cstheme="minorHAnsi"/>
        </w:rPr>
        <w:t xml:space="preserve"> In addition to the abovementioned costs, the commercial operation of all non-existing entry points requires the realization of other necessary connection projects to DESFA’s System, such as M/R Stations and connection pipelines. These connection costs will be borne by the Project Promoters of the respective projects (FSRUs), through a Connection Fee and/or an Additional Connection Fee, as provided for in article 24 of the Tariff Regulation.</w:t>
      </w:r>
    </w:p>
    <w:p w14:paraId="6A521A44" w14:textId="2BE620B5" w:rsidR="00336F71" w:rsidRPr="00B74333" w:rsidRDefault="00A54957" w:rsidP="00763F3F">
      <w:pPr>
        <w:pStyle w:val="ListParagraph"/>
        <w:widowControl w:val="0"/>
        <w:numPr>
          <w:ilvl w:val="1"/>
          <w:numId w:val="22"/>
        </w:numPr>
        <w:suppressAutoHyphens/>
        <w:spacing w:after="120" w:line="360" w:lineRule="auto"/>
        <w:ind w:left="426" w:hanging="568"/>
        <w:jc w:val="both"/>
        <w:rPr>
          <w:rFonts w:cstheme="minorHAnsi"/>
        </w:rPr>
      </w:pPr>
      <w:r w:rsidRPr="00B74333">
        <w:rPr>
          <w:rFonts w:cstheme="minorHAnsi"/>
        </w:rPr>
        <w:t xml:space="preserve">The level of the </w:t>
      </w:r>
      <w:r w:rsidR="00CF4E05" w:rsidRPr="00B74333">
        <w:rPr>
          <w:rFonts w:cstheme="minorHAnsi"/>
        </w:rPr>
        <w:t>capacity</w:t>
      </w:r>
      <w:r w:rsidRPr="00B74333">
        <w:rPr>
          <w:rFonts w:cstheme="minorHAnsi"/>
        </w:rPr>
        <w:t xml:space="preserve"> requests submitted during the non-binding phase can be</w:t>
      </w:r>
      <w:r w:rsidR="009F2EEB" w:rsidRPr="00B74333">
        <w:rPr>
          <w:rFonts w:cstheme="minorHAnsi"/>
        </w:rPr>
        <w:t xml:space="preserve"> fully or partially</w:t>
      </w:r>
      <w:r w:rsidRPr="00B74333">
        <w:rPr>
          <w:rFonts w:cstheme="minorHAnsi"/>
        </w:rPr>
        <w:t xml:space="preserve"> covered</w:t>
      </w:r>
      <w:r w:rsidR="00D70F9D" w:rsidRPr="00B74333">
        <w:rPr>
          <w:rFonts w:cstheme="minorHAnsi"/>
        </w:rPr>
        <w:t>, depending on the respective</w:t>
      </w:r>
      <w:r w:rsidR="001B6FE2" w:rsidRPr="00B74333">
        <w:rPr>
          <w:rFonts w:cstheme="minorHAnsi"/>
        </w:rPr>
        <w:t xml:space="preserve"> Expansion Project and relevant</w:t>
      </w:r>
      <w:r w:rsidR="004E6444" w:rsidRPr="00B74333">
        <w:rPr>
          <w:rFonts w:cstheme="minorHAnsi"/>
        </w:rPr>
        <w:t xml:space="preserve"> entry point or IP</w:t>
      </w:r>
      <w:r w:rsidR="006A14F3" w:rsidRPr="00B74333">
        <w:rPr>
          <w:rFonts w:cstheme="minorHAnsi"/>
        </w:rPr>
        <w:t>. The</w:t>
      </w:r>
      <w:r w:rsidR="00340DA0" w:rsidRPr="00B74333">
        <w:rPr>
          <w:rFonts w:cstheme="minorHAnsi"/>
        </w:rPr>
        <w:t xml:space="preserve"> Offer Levels</w:t>
      </w:r>
      <w:r w:rsidR="0092285B" w:rsidRPr="00B74333">
        <w:rPr>
          <w:rFonts w:cstheme="minorHAnsi"/>
        </w:rPr>
        <w:t xml:space="preserve"> a</w:t>
      </w:r>
      <w:r w:rsidR="004D284B" w:rsidRPr="00B74333">
        <w:rPr>
          <w:rFonts w:cstheme="minorHAnsi"/>
        </w:rPr>
        <w:t>re</w:t>
      </w:r>
      <w:r w:rsidR="009F2EEB" w:rsidRPr="00B74333">
        <w:rPr>
          <w:rFonts w:cstheme="minorHAnsi"/>
        </w:rPr>
        <w:t xml:space="preserve"> </w:t>
      </w:r>
      <w:r w:rsidR="00911A2F" w:rsidRPr="00B74333">
        <w:rPr>
          <w:rFonts w:cstheme="minorHAnsi"/>
        </w:rPr>
        <w:t xml:space="preserve">shown in </w:t>
      </w:r>
      <w:r w:rsidR="007F5D99" w:rsidRPr="00B74333">
        <w:rPr>
          <w:rFonts w:cstheme="minorHAnsi"/>
        </w:rPr>
        <w:t>Article 3</w:t>
      </w:r>
      <w:r w:rsidR="00AC3584" w:rsidRPr="00B74333">
        <w:rPr>
          <w:rFonts w:cstheme="minorHAnsi"/>
        </w:rPr>
        <w:t>.</w:t>
      </w:r>
    </w:p>
    <w:p w14:paraId="64C56F78" w14:textId="77777777" w:rsidR="00A85830" w:rsidRPr="00B74333" w:rsidRDefault="00A85830" w:rsidP="00A85830">
      <w:pPr>
        <w:pStyle w:val="ListParagraph"/>
        <w:widowControl w:val="0"/>
        <w:suppressAutoHyphens/>
        <w:spacing w:after="120" w:line="360" w:lineRule="auto"/>
        <w:ind w:left="426"/>
        <w:jc w:val="both"/>
        <w:rPr>
          <w:rFonts w:cstheme="minorHAnsi"/>
        </w:rPr>
      </w:pPr>
    </w:p>
    <w:p w14:paraId="23362982" w14:textId="0D545074" w:rsidR="00D37629" w:rsidRPr="00B74333" w:rsidRDefault="003D5005" w:rsidP="00A85830">
      <w:pPr>
        <w:pStyle w:val="Heading1"/>
        <w:spacing w:after="160"/>
        <w:ind w:left="426"/>
      </w:pPr>
      <w:bookmarkStart w:id="18" w:name="_Toc165465556"/>
      <w:bookmarkStart w:id="19" w:name="_Toc71289525"/>
      <w:bookmarkStart w:id="20" w:name="_Ref163211634"/>
      <w:r w:rsidRPr="00B74333">
        <w:t xml:space="preserve">Article </w:t>
      </w:r>
      <w:r w:rsidR="00423E48" w:rsidRPr="00B74333">
        <w:t>3</w:t>
      </w:r>
      <w:r w:rsidRPr="00B74333">
        <w:t xml:space="preserve"> - </w:t>
      </w:r>
      <w:r w:rsidR="00D555F5" w:rsidRPr="00B74333">
        <w:t xml:space="preserve">Incremental Capacity </w:t>
      </w:r>
      <w:r w:rsidR="00D37629" w:rsidRPr="00B74333">
        <w:t>Offer Level</w:t>
      </w:r>
      <w:r w:rsidR="00B754A9" w:rsidRPr="00B74333">
        <w:t>s</w:t>
      </w:r>
      <w:bookmarkEnd w:id="18"/>
      <w:r w:rsidR="00D37629" w:rsidRPr="00B74333">
        <w:t xml:space="preserve"> </w:t>
      </w:r>
      <w:bookmarkEnd w:id="19"/>
      <w:bookmarkEnd w:id="20"/>
    </w:p>
    <w:p w14:paraId="6FE31280" w14:textId="2E1BCE89" w:rsidR="007D0463" w:rsidRPr="00B74333" w:rsidRDefault="0023603E">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The Offer Level</w:t>
      </w:r>
      <w:r w:rsidR="00FA0F87" w:rsidRPr="00B74333">
        <w:rPr>
          <w:rFonts w:cstheme="minorHAnsi"/>
        </w:rPr>
        <w:t>s</w:t>
      </w:r>
      <w:r w:rsidR="007D0463" w:rsidRPr="00B74333">
        <w:rPr>
          <w:rFonts w:cstheme="minorHAnsi"/>
        </w:rPr>
        <w:t xml:space="preserve"> in the table below provid</w:t>
      </w:r>
      <w:r w:rsidRPr="00B74333">
        <w:rPr>
          <w:rFonts w:cstheme="minorHAnsi"/>
        </w:rPr>
        <w:t>e</w:t>
      </w:r>
      <w:r w:rsidR="007D0463" w:rsidRPr="00B74333">
        <w:rPr>
          <w:rFonts w:cstheme="minorHAnsi"/>
        </w:rPr>
        <w:t xml:space="preserve"> an overview of </w:t>
      </w:r>
      <w:r w:rsidR="00002A80" w:rsidRPr="00B74333">
        <w:rPr>
          <w:rFonts w:cstheme="minorHAnsi"/>
        </w:rPr>
        <w:t xml:space="preserve">the </w:t>
      </w:r>
      <w:r w:rsidR="007D0463" w:rsidRPr="00B74333">
        <w:rPr>
          <w:rFonts w:cstheme="minorHAnsi"/>
        </w:rPr>
        <w:t xml:space="preserve">offered </w:t>
      </w:r>
      <w:r w:rsidR="00AF1D11" w:rsidRPr="00B74333">
        <w:rPr>
          <w:rFonts w:cstheme="minorHAnsi"/>
        </w:rPr>
        <w:t xml:space="preserve">incremental </w:t>
      </w:r>
      <w:r w:rsidR="007D0463" w:rsidRPr="00B74333">
        <w:rPr>
          <w:rFonts w:cstheme="minorHAnsi"/>
        </w:rPr>
        <w:t>capacit</w:t>
      </w:r>
      <w:r w:rsidRPr="00B74333">
        <w:rPr>
          <w:rFonts w:cstheme="minorHAnsi"/>
        </w:rPr>
        <w:t>y</w:t>
      </w:r>
      <w:r w:rsidR="007D0463" w:rsidRPr="00B74333">
        <w:rPr>
          <w:rFonts w:cstheme="minorHAnsi"/>
        </w:rPr>
        <w:t xml:space="preserve"> at </w:t>
      </w:r>
      <w:r w:rsidR="00CF3606" w:rsidRPr="00B74333">
        <w:rPr>
          <w:rFonts w:cstheme="minorHAnsi"/>
        </w:rPr>
        <w:t>all in</w:t>
      </w:r>
      <w:r w:rsidR="00FF3C42" w:rsidRPr="00B74333">
        <w:rPr>
          <w:rFonts w:cstheme="minorHAnsi"/>
        </w:rPr>
        <w:t>cluded</w:t>
      </w:r>
      <w:r w:rsidR="00CF3606" w:rsidRPr="00B74333">
        <w:rPr>
          <w:rFonts w:cstheme="minorHAnsi"/>
        </w:rPr>
        <w:t xml:space="preserve"> IPs and entry points</w:t>
      </w:r>
      <w:r w:rsidR="00AF1D11" w:rsidRPr="00B74333">
        <w:rPr>
          <w:rFonts w:cstheme="minorHAnsi"/>
        </w:rPr>
        <w:t>. That capacity</w:t>
      </w:r>
      <w:r w:rsidR="007D0463" w:rsidRPr="00B74333">
        <w:rPr>
          <w:rFonts w:cstheme="minorHAnsi"/>
        </w:rPr>
        <w:t xml:space="preserve"> </w:t>
      </w:r>
      <w:r w:rsidR="00AF1D11" w:rsidRPr="00B74333">
        <w:rPr>
          <w:rFonts w:cstheme="minorHAnsi"/>
        </w:rPr>
        <w:t>can b</w:t>
      </w:r>
      <w:r w:rsidR="007D0463" w:rsidRPr="00B74333">
        <w:rPr>
          <w:rFonts w:cstheme="minorHAnsi"/>
        </w:rPr>
        <w:t xml:space="preserve">e allocated </w:t>
      </w:r>
      <w:r w:rsidR="00213812" w:rsidRPr="00B74333">
        <w:rPr>
          <w:rFonts w:cstheme="minorHAnsi"/>
        </w:rPr>
        <w:t xml:space="preserve">as </w:t>
      </w:r>
      <w:r w:rsidR="00626AD0" w:rsidRPr="00B74333">
        <w:rPr>
          <w:rFonts w:cstheme="minorHAnsi"/>
        </w:rPr>
        <w:t>long-term</w:t>
      </w:r>
      <w:r w:rsidR="00213812" w:rsidRPr="00B74333">
        <w:rPr>
          <w:rFonts w:cstheme="minorHAnsi"/>
        </w:rPr>
        <w:t xml:space="preserve"> capacity.</w:t>
      </w:r>
      <w:r w:rsidR="007D0463" w:rsidRPr="00B74333">
        <w:rPr>
          <w:rFonts w:cstheme="minorHAnsi"/>
        </w:rPr>
        <w:t xml:space="preserve"> </w:t>
      </w:r>
    </w:p>
    <w:p w14:paraId="522BEB8B" w14:textId="4F3222A4" w:rsidR="008975AF" w:rsidRPr="00B74333" w:rsidRDefault="008975AF" w:rsidP="00A85830">
      <w:pPr>
        <w:pStyle w:val="Caption"/>
        <w:keepNext/>
        <w:spacing w:after="120"/>
        <w:ind w:left="425"/>
        <w:rPr>
          <w:rFonts w:asciiTheme="minorHAnsi" w:hAnsiTheme="minorHAnsi" w:cstheme="minorHAnsi"/>
          <w:sz w:val="20"/>
          <w:szCs w:val="20"/>
          <w:lang w:val="en-US"/>
        </w:rPr>
      </w:pPr>
      <w:bookmarkStart w:id="21" w:name="_Ref163480563"/>
      <w:r w:rsidRPr="00B74333">
        <w:rPr>
          <w:rFonts w:asciiTheme="minorHAnsi" w:hAnsiTheme="minorHAnsi" w:cstheme="minorHAnsi"/>
          <w:sz w:val="20"/>
          <w:szCs w:val="20"/>
          <w:lang w:val="en-US"/>
        </w:rPr>
        <w:t xml:space="preserve">Table </w:t>
      </w:r>
      <w:r w:rsidRPr="00B74333">
        <w:rPr>
          <w:rFonts w:asciiTheme="minorHAnsi" w:hAnsiTheme="minorHAnsi" w:cstheme="minorHAnsi"/>
          <w:sz w:val="20"/>
          <w:szCs w:val="20"/>
          <w:lang w:val="en-US"/>
        </w:rPr>
        <w:fldChar w:fldCharType="begin"/>
      </w:r>
      <w:r w:rsidRPr="00B74333">
        <w:rPr>
          <w:rFonts w:asciiTheme="minorHAnsi" w:hAnsiTheme="minorHAnsi" w:cstheme="minorHAnsi"/>
          <w:sz w:val="20"/>
          <w:szCs w:val="20"/>
          <w:lang w:val="en-US"/>
        </w:rPr>
        <w:instrText xml:space="preserve"> SEQ Table \* ARABIC </w:instrText>
      </w:r>
      <w:r w:rsidRPr="00B74333">
        <w:rPr>
          <w:rFonts w:asciiTheme="minorHAnsi" w:hAnsiTheme="minorHAnsi" w:cstheme="minorHAnsi"/>
          <w:sz w:val="20"/>
          <w:szCs w:val="20"/>
          <w:lang w:val="en-US"/>
        </w:rPr>
        <w:fldChar w:fldCharType="separate"/>
      </w:r>
      <w:r w:rsidR="00436FED" w:rsidRPr="00B74333">
        <w:rPr>
          <w:rFonts w:asciiTheme="minorHAnsi" w:hAnsiTheme="minorHAnsi" w:cstheme="minorHAnsi"/>
          <w:sz w:val="20"/>
          <w:szCs w:val="20"/>
          <w:lang w:val="en-US"/>
        </w:rPr>
        <w:t>4</w:t>
      </w:r>
      <w:r w:rsidRPr="00B74333">
        <w:rPr>
          <w:rFonts w:asciiTheme="minorHAnsi" w:hAnsiTheme="minorHAnsi" w:cstheme="minorHAnsi"/>
          <w:sz w:val="20"/>
          <w:szCs w:val="20"/>
          <w:lang w:val="en-US"/>
        </w:rPr>
        <w:fldChar w:fldCharType="end"/>
      </w:r>
      <w:bookmarkEnd w:id="21"/>
      <w:r w:rsidRPr="00B74333">
        <w:rPr>
          <w:rFonts w:asciiTheme="minorHAnsi" w:hAnsiTheme="minorHAnsi" w:cstheme="minorHAnsi"/>
          <w:sz w:val="20"/>
          <w:szCs w:val="20"/>
          <w:lang w:val="en-US"/>
        </w:rPr>
        <w:t>: Offer Levels, referring to incremental capacity per individual Entry / Exit point of DESFA System</w:t>
      </w:r>
    </w:p>
    <w:tbl>
      <w:tblPr>
        <w:tblStyle w:val="TableGrid1"/>
        <w:tblW w:w="8709" w:type="dxa"/>
        <w:tblInd w:w="421" w:type="dxa"/>
        <w:tblLook w:val="04A0" w:firstRow="1" w:lastRow="0" w:firstColumn="1" w:lastColumn="0" w:noHBand="0" w:noVBand="1"/>
      </w:tblPr>
      <w:tblGrid>
        <w:gridCol w:w="2256"/>
        <w:gridCol w:w="1537"/>
        <w:gridCol w:w="1537"/>
        <w:gridCol w:w="1465"/>
        <w:gridCol w:w="1914"/>
      </w:tblGrid>
      <w:tr w:rsidR="00A5330B" w:rsidRPr="00B74333" w14:paraId="747D101D" w14:textId="77777777" w:rsidTr="00217D24">
        <w:trPr>
          <w:trHeight w:val="463"/>
        </w:trPr>
        <w:tc>
          <w:tcPr>
            <w:tcW w:w="2260" w:type="dxa"/>
            <w:vMerge w:val="restart"/>
            <w:shd w:val="clear" w:color="auto" w:fill="008080"/>
            <w:vAlign w:val="center"/>
          </w:tcPr>
          <w:p w14:paraId="77AF6A3E" w14:textId="77777777" w:rsidR="00A5330B" w:rsidRPr="00B74333" w:rsidRDefault="00A5330B" w:rsidP="001F1F64">
            <w:pPr>
              <w:jc w:val="center"/>
              <w:rPr>
                <w:rFonts w:eastAsia="Times New Roman" w:cstheme="minorHAnsi"/>
                <w:b/>
                <w:color w:val="FFFFFF"/>
                <w:lang w:val="en-US"/>
              </w:rPr>
            </w:pPr>
            <w:r w:rsidRPr="00B74333">
              <w:rPr>
                <w:rFonts w:eastAsia="Times New Roman" w:cstheme="minorHAnsi"/>
                <w:b/>
                <w:color w:val="FFFFFF"/>
                <w:lang w:val="en-US"/>
              </w:rPr>
              <w:t>Entry / Exit Point of DESFA System</w:t>
            </w:r>
          </w:p>
        </w:tc>
        <w:tc>
          <w:tcPr>
            <w:tcW w:w="4544" w:type="dxa"/>
            <w:gridSpan w:val="3"/>
            <w:shd w:val="clear" w:color="auto" w:fill="008080"/>
            <w:vAlign w:val="center"/>
          </w:tcPr>
          <w:p w14:paraId="1F8BCBE7" w14:textId="77777777" w:rsidR="00A5330B" w:rsidRPr="00B74333" w:rsidRDefault="00A5330B" w:rsidP="001F1F64">
            <w:pPr>
              <w:jc w:val="center"/>
              <w:rPr>
                <w:rFonts w:eastAsia="Times New Roman" w:cstheme="minorHAnsi"/>
                <w:b/>
                <w:color w:val="FFFFFF"/>
                <w:lang w:val="en-US"/>
              </w:rPr>
            </w:pPr>
            <w:r w:rsidRPr="00B74333">
              <w:rPr>
                <w:rFonts w:eastAsia="Times New Roman" w:cstheme="minorHAnsi"/>
                <w:b/>
                <w:color w:val="FFFFFF"/>
                <w:lang w:val="en-US"/>
              </w:rPr>
              <w:t>Offered Level (GWh/d/y)</w:t>
            </w:r>
          </w:p>
        </w:tc>
        <w:tc>
          <w:tcPr>
            <w:tcW w:w="1905" w:type="dxa"/>
            <w:vMerge w:val="restart"/>
            <w:shd w:val="clear" w:color="auto" w:fill="008080"/>
            <w:vAlign w:val="center"/>
          </w:tcPr>
          <w:p w14:paraId="511A2EAA" w14:textId="77777777" w:rsidR="00A5330B" w:rsidRPr="00B74333" w:rsidRDefault="00A5330B" w:rsidP="001F1F64">
            <w:pPr>
              <w:jc w:val="center"/>
              <w:rPr>
                <w:rFonts w:eastAsia="Times New Roman" w:cstheme="minorHAnsi"/>
                <w:b/>
                <w:color w:val="FFFFFF"/>
                <w:lang w:val="en-US"/>
              </w:rPr>
            </w:pPr>
            <w:proofErr w:type="spellStart"/>
            <w:r w:rsidRPr="00B74333">
              <w:rPr>
                <w:rFonts w:eastAsia="Times New Roman" w:cstheme="minorHAnsi"/>
                <w:b/>
                <w:color w:val="FFFFFF"/>
              </w:rPr>
              <w:t>Entry</w:t>
            </w:r>
            <w:proofErr w:type="spellEnd"/>
            <w:r w:rsidRPr="00B74333">
              <w:rPr>
                <w:rFonts w:eastAsia="Times New Roman" w:cstheme="minorHAnsi"/>
                <w:b/>
                <w:color w:val="FFFFFF"/>
              </w:rPr>
              <w:t xml:space="preserve"> / </w:t>
            </w:r>
            <w:proofErr w:type="spellStart"/>
            <w:r w:rsidRPr="00B74333">
              <w:rPr>
                <w:rFonts w:eastAsia="Times New Roman" w:cstheme="minorHAnsi"/>
                <w:b/>
                <w:color w:val="FFFFFF"/>
              </w:rPr>
              <w:t>Exit</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TSOs</w:t>
            </w:r>
            <w:proofErr w:type="spellEnd"/>
          </w:p>
        </w:tc>
      </w:tr>
      <w:tr w:rsidR="00A5330B" w:rsidRPr="00B74333" w14:paraId="6A4CCB90" w14:textId="77777777" w:rsidTr="00217D24">
        <w:trPr>
          <w:trHeight w:val="451"/>
        </w:trPr>
        <w:tc>
          <w:tcPr>
            <w:tcW w:w="2260" w:type="dxa"/>
            <w:vMerge/>
            <w:shd w:val="clear" w:color="auto" w:fill="008080"/>
            <w:vAlign w:val="center"/>
          </w:tcPr>
          <w:p w14:paraId="7CE01900" w14:textId="77777777" w:rsidR="00A5330B" w:rsidRPr="00B74333" w:rsidRDefault="00A5330B" w:rsidP="001F1F64">
            <w:pPr>
              <w:jc w:val="center"/>
              <w:rPr>
                <w:rFonts w:eastAsia="Times New Roman" w:cstheme="minorHAnsi"/>
                <w:b/>
                <w:color w:val="FFFFFF"/>
                <w:lang w:val="en-US"/>
              </w:rPr>
            </w:pPr>
          </w:p>
        </w:tc>
        <w:tc>
          <w:tcPr>
            <w:tcW w:w="1539" w:type="dxa"/>
            <w:shd w:val="clear" w:color="auto" w:fill="008080"/>
            <w:vAlign w:val="center"/>
          </w:tcPr>
          <w:p w14:paraId="3C2C0791" w14:textId="77777777" w:rsidR="00A5330B" w:rsidRPr="00B74333" w:rsidRDefault="00A5330B" w:rsidP="001F1F64">
            <w:pPr>
              <w:jc w:val="center"/>
              <w:rPr>
                <w:rFonts w:eastAsia="Times New Roman" w:cstheme="minorHAnsi"/>
                <w:b/>
                <w:color w:val="FFFFFF"/>
                <w:lang w:val="en-US"/>
              </w:rPr>
            </w:pPr>
            <w:proofErr w:type="spellStart"/>
            <w:r w:rsidRPr="00B74333">
              <w:rPr>
                <w:rFonts w:eastAsia="Times New Roman" w:cstheme="minorHAnsi"/>
                <w:b/>
                <w:color w:val="FFFFFF"/>
              </w:rPr>
              <w:t>Limited</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Expansion</w:t>
            </w:r>
            <w:proofErr w:type="spellEnd"/>
          </w:p>
        </w:tc>
        <w:tc>
          <w:tcPr>
            <w:tcW w:w="1539" w:type="dxa"/>
            <w:shd w:val="clear" w:color="auto" w:fill="008080"/>
            <w:vAlign w:val="center"/>
          </w:tcPr>
          <w:p w14:paraId="002B152E" w14:textId="77777777" w:rsidR="00A5330B" w:rsidRPr="00B74333" w:rsidRDefault="00A5330B" w:rsidP="001F1F64">
            <w:pPr>
              <w:jc w:val="center"/>
              <w:rPr>
                <w:rFonts w:eastAsia="Times New Roman" w:cstheme="minorHAnsi"/>
                <w:b/>
                <w:color w:val="FFFFFF"/>
                <w:lang w:val="en-US"/>
              </w:rPr>
            </w:pPr>
            <w:proofErr w:type="spellStart"/>
            <w:r w:rsidRPr="00B74333">
              <w:rPr>
                <w:rFonts w:eastAsia="Times New Roman" w:cstheme="minorHAnsi"/>
                <w:b/>
                <w:color w:val="FFFFFF"/>
              </w:rPr>
              <w:t>Partial</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Expansion</w:t>
            </w:r>
            <w:proofErr w:type="spellEnd"/>
          </w:p>
        </w:tc>
        <w:tc>
          <w:tcPr>
            <w:tcW w:w="1466" w:type="dxa"/>
            <w:shd w:val="clear" w:color="auto" w:fill="008080"/>
            <w:vAlign w:val="center"/>
          </w:tcPr>
          <w:p w14:paraId="0FD82E7A" w14:textId="77777777" w:rsidR="00A5330B" w:rsidRPr="00B74333" w:rsidRDefault="00A5330B" w:rsidP="001F1F64">
            <w:pPr>
              <w:jc w:val="center"/>
              <w:rPr>
                <w:rFonts w:eastAsia="Times New Roman" w:cstheme="minorHAnsi"/>
                <w:b/>
                <w:color w:val="FFFFFF"/>
                <w:lang w:val="en-US"/>
              </w:rPr>
            </w:pPr>
            <w:proofErr w:type="spellStart"/>
            <w:r w:rsidRPr="00B74333">
              <w:rPr>
                <w:rFonts w:eastAsia="Times New Roman" w:cstheme="minorHAnsi"/>
                <w:b/>
                <w:color w:val="FFFFFF"/>
              </w:rPr>
              <w:t>Full</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Expansion</w:t>
            </w:r>
            <w:proofErr w:type="spellEnd"/>
          </w:p>
        </w:tc>
        <w:tc>
          <w:tcPr>
            <w:tcW w:w="1905" w:type="dxa"/>
            <w:vMerge/>
            <w:shd w:val="clear" w:color="auto" w:fill="008080"/>
            <w:vAlign w:val="center"/>
          </w:tcPr>
          <w:p w14:paraId="737BAA9A" w14:textId="77777777" w:rsidR="00A5330B" w:rsidRPr="00B74333" w:rsidRDefault="00A5330B" w:rsidP="001F1F64">
            <w:pPr>
              <w:jc w:val="center"/>
              <w:rPr>
                <w:rFonts w:eastAsia="Times New Roman" w:cstheme="minorHAnsi"/>
                <w:b/>
                <w:color w:val="FFFFFF"/>
                <w:lang w:val="en-US"/>
              </w:rPr>
            </w:pPr>
          </w:p>
        </w:tc>
      </w:tr>
      <w:tr w:rsidR="00A5330B" w:rsidRPr="00B74333" w14:paraId="365D9FD9" w14:textId="77777777" w:rsidTr="00217D24">
        <w:trPr>
          <w:trHeight w:val="618"/>
        </w:trPr>
        <w:tc>
          <w:tcPr>
            <w:tcW w:w="2260" w:type="dxa"/>
            <w:vAlign w:val="center"/>
          </w:tcPr>
          <w:p w14:paraId="1F2A3BD7" w14:textId="77777777" w:rsidR="00A5330B" w:rsidRPr="00B74333" w:rsidRDefault="00A5330B" w:rsidP="001F1F64">
            <w:pPr>
              <w:jc w:val="center"/>
              <w:rPr>
                <w:rFonts w:cstheme="minorHAnsi"/>
                <w:lang w:val="en-US"/>
              </w:rPr>
            </w:pPr>
            <w:r w:rsidRPr="00B74333">
              <w:rPr>
                <w:rFonts w:cstheme="minorHAnsi"/>
              </w:rPr>
              <w:t>Kulata/ Sidirokastro</w:t>
            </w:r>
          </w:p>
        </w:tc>
        <w:tc>
          <w:tcPr>
            <w:tcW w:w="1539" w:type="dxa"/>
            <w:vAlign w:val="center"/>
          </w:tcPr>
          <w:p w14:paraId="3246697E" w14:textId="77777777" w:rsidR="00A5330B" w:rsidRPr="00B74333" w:rsidRDefault="00A5330B" w:rsidP="001F1F64">
            <w:pPr>
              <w:jc w:val="center"/>
              <w:rPr>
                <w:rFonts w:eastAsia="Times New Roman" w:cstheme="minorHAnsi"/>
                <w:lang w:val="en-US"/>
              </w:rPr>
            </w:pPr>
            <w:r w:rsidRPr="00B74333">
              <w:rPr>
                <w:rFonts w:eastAsia="Times New Roman" w:cstheme="minorHAnsi"/>
              </w:rPr>
              <w:t>31,9</w:t>
            </w:r>
          </w:p>
        </w:tc>
        <w:tc>
          <w:tcPr>
            <w:tcW w:w="1539" w:type="dxa"/>
            <w:vAlign w:val="center"/>
          </w:tcPr>
          <w:p w14:paraId="5249DE10" w14:textId="77777777" w:rsidR="00A5330B" w:rsidRPr="00B74333" w:rsidRDefault="00A5330B" w:rsidP="001F1F64">
            <w:pPr>
              <w:jc w:val="center"/>
              <w:rPr>
                <w:rFonts w:eastAsia="Times New Roman" w:cstheme="minorHAnsi"/>
                <w:lang w:val="en-US"/>
              </w:rPr>
            </w:pPr>
            <w:r w:rsidRPr="00B74333">
              <w:rPr>
                <w:rFonts w:eastAsia="Times New Roman" w:cstheme="minorHAnsi"/>
              </w:rPr>
              <w:t>94</w:t>
            </w:r>
          </w:p>
        </w:tc>
        <w:tc>
          <w:tcPr>
            <w:tcW w:w="1466" w:type="dxa"/>
            <w:vAlign w:val="center"/>
          </w:tcPr>
          <w:p w14:paraId="76D8FD1A" w14:textId="77777777" w:rsidR="00A5330B" w:rsidRPr="00B74333" w:rsidRDefault="00A5330B" w:rsidP="001F1F64">
            <w:pPr>
              <w:jc w:val="center"/>
              <w:rPr>
                <w:rFonts w:eastAsia="Times New Roman" w:cstheme="minorHAnsi"/>
                <w:lang w:val="en-US"/>
              </w:rPr>
            </w:pPr>
            <w:r w:rsidRPr="00B74333">
              <w:rPr>
                <w:rFonts w:eastAsia="Times New Roman" w:cstheme="minorHAnsi"/>
              </w:rPr>
              <w:t>94</w:t>
            </w:r>
          </w:p>
        </w:tc>
        <w:tc>
          <w:tcPr>
            <w:tcW w:w="1905" w:type="dxa"/>
            <w:vAlign w:val="center"/>
          </w:tcPr>
          <w:p w14:paraId="7D72C0DB"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DESFA / </w:t>
            </w:r>
            <w:proofErr w:type="spellStart"/>
            <w:r w:rsidRPr="00B74333">
              <w:rPr>
                <w:rFonts w:eastAsia="Times New Roman" w:cstheme="minorHAnsi"/>
              </w:rPr>
              <w:t>Entry</w:t>
            </w:r>
            <w:proofErr w:type="spellEnd"/>
            <w:r w:rsidRPr="00B74333">
              <w:rPr>
                <w:rFonts w:eastAsia="Times New Roman" w:cstheme="minorHAnsi"/>
              </w:rPr>
              <w:t xml:space="preserve"> BULGARTRANSGAZ</w:t>
            </w:r>
          </w:p>
        </w:tc>
      </w:tr>
      <w:tr w:rsidR="00A5330B" w:rsidRPr="00B74333" w14:paraId="4B57144F" w14:textId="77777777" w:rsidTr="00217D24">
        <w:trPr>
          <w:trHeight w:val="618"/>
        </w:trPr>
        <w:tc>
          <w:tcPr>
            <w:tcW w:w="2260" w:type="dxa"/>
            <w:vAlign w:val="center"/>
          </w:tcPr>
          <w:p w14:paraId="40CA1F46" w14:textId="77777777" w:rsidR="00A5330B" w:rsidRPr="00B74333" w:rsidRDefault="00A5330B" w:rsidP="001F1F64">
            <w:pPr>
              <w:jc w:val="center"/>
              <w:rPr>
                <w:rFonts w:eastAsia="Times New Roman" w:cstheme="minorHAnsi"/>
                <w:lang w:val="en-US"/>
              </w:rPr>
            </w:pPr>
            <w:r w:rsidRPr="00B74333">
              <w:rPr>
                <w:rFonts w:cstheme="minorHAnsi"/>
              </w:rPr>
              <w:t>Komotini</w:t>
            </w:r>
          </w:p>
        </w:tc>
        <w:tc>
          <w:tcPr>
            <w:tcW w:w="1539" w:type="dxa"/>
            <w:vAlign w:val="center"/>
          </w:tcPr>
          <w:p w14:paraId="251E994C" w14:textId="77777777" w:rsidR="00A5330B" w:rsidRPr="00B74333" w:rsidRDefault="00A5330B" w:rsidP="001F1F64">
            <w:pPr>
              <w:jc w:val="center"/>
              <w:rPr>
                <w:rFonts w:eastAsia="Times New Roman" w:cstheme="minorHAnsi"/>
                <w:lang w:val="en-US"/>
              </w:rPr>
            </w:pPr>
            <w:r w:rsidRPr="00B74333">
              <w:rPr>
                <w:rFonts w:eastAsia="Times New Roman" w:cstheme="minorHAnsi"/>
              </w:rPr>
              <w:t>47,9</w:t>
            </w:r>
          </w:p>
        </w:tc>
        <w:tc>
          <w:tcPr>
            <w:tcW w:w="1539" w:type="dxa"/>
            <w:vAlign w:val="center"/>
          </w:tcPr>
          <w:p w14:paraId="21EBBC6C" w14:textId="77777777" w:rsidR="00A5330B" w:rsidRPr="00B74333" w:rsidRDefault="00A5330B" w:rsidP="001F1F64">
            <w:pPr>
              <w:jc w:val="center"/>
              <w:rPr>
                <w:rFonts w:eastAsia="Times New Roman" w:cstheme="minorHAnsi"/>
                <w:lang w:val="en-US"/>
              </w:rPr>
            </w:pPr>
            <w:r w:rsidRPr="00B74333">
              <w:rPr>
                <w:rFonts w:eastAsia="Times New Roman" w:cstheme="minorHAnsi"/>
              </w:rPr>
              <w:t>47,9</w:t>
            </w:r>
          </w:p>
        </w:tc>
        <w:tc>
          <w:tcPr>
            <w:tcW w:w="1466" w:type="dxa"/>
            <w:vAlign w:val="center"/>
          </w:tcPr>
          <w:p w14:paraId="6BA83D78" w14:textId="77777777" w:rsidR="00A5330B" w:rsidRPr="00B74333" w:rsidRDefault="00A5330B" w:rsidP="001F1F64">
            <w:pPr>
              <w:jc w:val="center"/>
              <w:rPr>
                <w:rFonts w:eastAsia="Times New Roman" w:cstheme="minorHAnsi"/>
                <w:lang w:val="en-US"/>
              </w:rPr>
            </w:pPr>
            <w:r w:rsidRPr="00B74333">
              <w:rPr>
                <w:rFonts w:eastAsia="Times New Roman" w:cstheme="minorHAnsi"/>
              </w:rPr>
              <w:t>47,9</w:t>
            </w:r>
          </w:p>
        </w:tc>
        <w:tc>
          <w:tcPr>
            <w:tcW w:w="1905" w:type="dxa"/>
            <w:vAlign w:val="center"/>
          </w:tcPr>
          <w:p w14:paraId="304B1450"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DESFA / </w:t>
            </w:r>
            <w:proofErr w:type="spellStart"/>
            <w:r w:rsidRPr="00B74333">
              <w:rPr>
                <w:rFonts w:eastAsia="Times New Roman" w:cstheme="minorHAnsi"/>
              </w:rPr>
              <w:t>Entry</w:t>
            </w:r>
            <w:proofErr w:type="spellEnd"/>
            <w:r w:rsidRPr="00B74333">
              <w:rPr>
                <w:rFonts w:eastAsia="Times New Roman" w:cstheme="minorHAnsi"/>
              </w:rPr>
              <w:t xml:space="preserve"> ICGB</w:t>
            </w:r>
          </w:p>
        </w:tc>
      </w:tr>
      <w:tr w:rsidR="00A5330B" w:rsidRPr="00B74333" w14:paraId="0C114B37" w14:textId="77777777" w:rsidTr="00217D24">
        <w:trPr>
          <w:trHeight w:val="618"/>
        </w:trPr>
        <w:tc>
          <w:tcPr>
            <w:tcW w:w="2260" w:type="dxa"/>
            <w:vAlign w:val="center"/>
          </w:tcPr>
          <w:p w14:paraId="66B2ECF8" w14:textId="77777777" w:rsidR="00A5330B" w:rsidRPr="00B74333" w:rsidRDefault="00A5330B" w:rsidP="001F1F64">
            <w:pPr>
              <w:jc w:val="center"/>
              <w:rPr>
                <w:rFonts w:eastAsia="Times New Roman" w:cstheme="minorHAnsi"/>
                <w:lang w:val="en-US"/>
              </w:rPr>
            </w:pPr>
            <w:proofErr w:type="spellStart"/>
            <w:r w:rsidRPr="00B74333">
              <w:rPr>
                <w:rFonts w:cstheme="minorHAnsi"/>
              </w:rPr>
              <w:t>Nea</w:t>
            </w:r>
            <w:proofErr w:type="spellEnd"/>
            <w:r w:rsidRPr="00B74333">
              <w:rPr>
                <w:rFonts w:cstheme="minorHAnsi"/>
              </w:rPr>
              <w:t xml:space="preserve"> Messimvria</w:t>
            </w:r>
          </w:p>
        </w:tc>
        <w:tc>
          <w:tcPr>
            <w:tcW w:w="1539" w:type="dxa"/>
            <w:vAlign w:val="center"/>
          </w:tcPr>
          <w:p w14:paraId="7939D0DD" w14:textId="77777777" w:rsidR="00A5330B" w:rsidRPr="00B74333" w:rsidRDefault="00A5330B" w:rsidP="001F1F64">
            <w:pPr>
              <w:jc w:val="center"/>
              <w:rPr>
                <w:rFonts w:eastAsia="Times New Roman" w:cstheme="minorHAnsi"/>
                <w:lang w:val="en-US"/>
              </w:rPr>
            </w:pPr>
            <w:r w:rsidRPr="00B74333">
              <w:rPr>
                <w:rFonts w:cstheme="minorHAnsi"/>
              </w:rPr>
              <w:t>55</w:t>
            </w:r>
          </w:p>
        </w:tc>
        <w:tc>
          <w:tcPr>
            <w:tcW w:w="1539" w:type="dxa"/>
            <w:vAlign w:val="center"/>
          </w:tcPr>
          <w:p w14:paraId="3A0EA845" w14:textId="77777777" w:rsidR="00A5330B" w:rsidRPr="00B74333" w:rsidRDefault="00A5330B" w:rsidP="001F1F64">
            <w:pPr>
              <w:jc w:val="center"/>
              <w:rPr>
                <w:rFonts w:eastAsia="Times New Roman" w:cstheme="minorHAnsi"/>
                <w:lang w:val="en-US"/>
              </w:rPr>
            </w:pPr>
            <w:r w:rsidRPr="00B74333">
              <w:rPr>
                <w:rFonts w:cstheme="minorHAnsi"/>
              </w:rPr>
              <w:t>94</w:t>
            </w:r>
          </w:p>
        </w:tc>
        <w:tc>
          <w:tcPr>
            <w:tcW w:w="1466" w:type="dxa"/>
            <w:vAlign w:val="center"/>
          </w:tcPr>
          <w:p w14:paraId="5F5A2DD1" w14:textId="77777777" w:rsidR="00A5330B" w:rsidRPr="00B74333" w:rsidRDefault="00A5330B" w:rsidP="001F1F64">
            <w:pPr>
              <w:jc w:val="center"/>
              <w:rPr>
                <w:rFonts w:eastAsia="Times New Roman" w:cstheme="minorHAnsi"/>
                <w:lang w:val="en-US"/>
              </w:rPr>
            </w:pPr>
            <w:r w:rsidRPr="00B74333">
              <w:rPr>
                <w:rFonts w:cstheme="minorHAnsi"/>
              </w:rPr>
              <w:t>94</w:t>
            </w:r>
          </w:p>
        </w:tc>
        <w:tc>
          <w:tcPr>
            <w:tcW w:w="1905" w:type="dxa"/>
            <w:vAlign w:val="center"/>
          </w:tcPr>
          <w:p w14:paraId="219C8118"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DESFA / </w:t>
            </w:r>
            <w:proofErr w:type="spellStart"/>
            <w:r w:rsidRPr="00B74333">
              <w:rPr>
                <w:rFonts w:eastAsia="Times New Roman" w:cstheme="minorHAnsi"/>
              </w:rPr>
              <w:t>Entry</w:t>
            </w:r>
            <w:proofErr w:type="spellEnd"/>
            <w:r w:rsidRPr="00B74333">
              <w:rPr>
                <w:rFonts w:eastAsia="Times New Roman" w:cstheme="minorHAnsi"/>
              </w:rPr>
              <w:t xml:space="preserve"> TAP</w:t>
            </w:r>
          </w:p>
        </w:tc>
      </w:tr>
      <w:tr w:rsidR="00A5330B" w:rsidRPr="00B74333" w14:paraId="50BF7440" w14:textId="77777777" w:rsidTr="00217D24">
        <w:trPr>
          <w:trHeight w:val="618"/>
        </w:trPr>
        <w:tc>
          <w:tcPr>
            <w:tcW w:w="2260" w:type="dxa"/>
            <w:vAlign w:val="center"/>
          </w:tcPr>
          <w:p w14:paraId="0E7F3A20" w14:textId="77777777" w:rsidR="00A5330B" w:rsidRPr="00B74333" w:rsidRDefault="00A5330B" w:rsidP="001F1F64">
            <w:pPr>
              <w:jc w:val="center"/>
              <w:rPr>
                <w:rFonts w:eastAsia="Times New Roman" w:cstheme="minorHAnsi"/>
                <w:lang w:val="en-US"/>
              </w:rPr>
            </w:pPr>
            <w:proofErr w:type="spellStart"/>
            <w:r w:rsidRPr="00B74333">
              <w:rPr>
                <w:rFonts w:cstheme="minorHAnsi"/>
              </w:rPr>
              <w:t>Nea</w:t>
            </w:r>
            <w:proofErr w:type="spellEnd"/>
            <w:r w:rsidRPr="00B74333">
              <w:rPr>
                <w:rFonts w:cstheme="minorHAnsi"/>
              </w:rPr>
              <w:t xml:space="preserve"> Messimvria</w:t>
            </w:r>
          </w:p>
        </w:tc>
        <w:tc>
          <w:tcPr>
            <w:tcW w:w="1539" w:type="dxa"/>
            <w:vAlign w:val="center"/>
          </w:tcPr>
          <w:p w14:paraId="41E5997E" w14:textId="77777777" w:rsidR="00A5330B" w:rsidRPr="00B74333" w:rsidRDefault="00A5330B" w:rsidP="001F1F64">
            <w:pPr>
              <w:jc w:val="center"/>
              <w:rPr>
                <w:rFonts w:eastAsia="Times New Roman" w:cstheme="minorHAnsi"/>
                <w:lang w:val="en-US"/>
              </w:rPr>
            </w:pPr>
            <w:r w:rsidRPr="00B74333">
              <w:rPr>
                <w:rFonts w:cstheme="minorHAnsi"/>
              </w:rPr>
              <w:t>46</w:t>
            </w:r>
          </w:p>
        </w:tc>
        <w:tc>
          <w:tcPr>
            <w:tcW w:w="1539" w:type="dxa"/>
            <w:vAlign w:val="center"/>
          </w:tcPr>
          <w:p w14:paraId="203E55A3" w14:textId="77777777" w:rsidR="00A5330B" w:rsidRPr="00B74333" w:rsidRDefault="00A5330B" w:rsidP="001F1F64">
            <w:pPr>
              <w:jc w:val="center"/>
              <w:rPr>
                <w:rFonts w:eastAsia="Times New Roman" w:cstheme="minorHAnsi"/>
                <w:lang w:val="en-US"/>
              </w:rPr>
            </w:pPr>
            <w:r w:rsidRPr="00B74333">
              <w:rPr>
                <w:rFonts w:cstheme="minorHAnsi"/>
              </w:rPr>
              <w:t>77</w:t>
            </w:r>
          </w:p>
        </w:tc>
        <w:tc>
          <w:tcPr>
            <w:tcW w:w="1466" w:type="dxa"/>
            <w:vAlign w:val="center"/>
          </w:tcPr>
          <w:p w14:paraId="1268000C" w14:textId="77777777" w:rsidR="00A5330B" w:rsidRPr="00B74333" w:rsidRDefault="00A5330B" w:rsidP="001F1F64">
            <w:pPr>
              <w:jc w:val="center"/>
              <w:rPr>
                <w:rFonts w:eastAsia="Times New Roman" w:cstheme="minorHAnsi"/>
                <w:lang w:val="en-US"/>
              </w:rPr>
            </w:pPr>
            <w:r w:rsidRPr="00B74333">
              <w:rPr>
                <w:rFonts w:cstheme="minorHAnsi"/>
              </w:rPr>
              <w:t>165</w:t>
            </w:r>
          </w:p>
        </w:tc>
        <w:tc>
          <w:tcPr>
            <w:tcW w:w="1905" w:type="dxa"/>
            <w:vAlign w:val="center"/>
          </w:tcPr>
          <w:p w14:paraId="3AD677D2"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TAP / </w:t>
            </w: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330B" w:rsidRPr="00B74333" w14:paraId="306E6D31" w14:textId="77777777" w:rsidTr="00217D24">
        <w:trPr>
          <w:trHeight w:val="618"/>
        </w:trPr>
        <w:tc>
          <w:tcPr>
            <w:tcW w:w="2260" w:type="dxa"/>
            <w:vAlign w:val="center"/>
          </w:tcPr>
          <w:p w14:paraId="5BDBA798" w14:textId="3D435FE0" w:rsidR="00A5330B" w:rsidRPr="00B74333" w:rsidRDefault="00A5330B" w:rsidP="001F1F64">
            <w:pPr>
              <w:jc w:val="center"/>
              <w:rPr>
                <w:rFonts w:eastAsia="Times New Roman" w:cstheme="minorHAnsi"/>
                <w:lang w:val="en-US"/>
              </w:rPr>
            </w:pPr>
            <w:r w:rsidRPr="00B74333">
              <w:rPr>
                <w:rFonts w:cstheme="minorHAnsi"/>
              </w:rPr>
              <w:t>Amfitriti</w:t>
            </w:r>
            <w:r w:rsidR="00906B54" w:rsidRPr="00B74333">
              <w:rPr>
                <w:rStyle w:val="FootnoteReference"/>
                <w:rFonts w:eastAsia="Times New Roman" w:cstheme="minorHAnsi"/>
              </w:rPr>
              <w:footnoteReference w:id="10"/>
            </w:r>
          </w:p>
        </w:tc>
        <w:tc>
          <w:tcPr>
            <w:tcW w:w="1539" w:type="dxa"/>
            <w:vAlign w:val="center"/>
          </w:tcPr>
          <w:p w14:paraId="14B96516" w14:textId="77777777" w:rsidR="00A5330B" w:rsidRPr="00B74333" w:rsidRDefault="00A5330B" w:rsidP="001F1F64">
            <w:pPr>
              <w:jc w:val="center"/>
              <w:rPr>
                <w:rFonts w:cstheme="minorHAnsi"/>
                <w:lang w:val="en-US"/>
              </w:rPr>
            </w:pPr>
            <w:r w:rsidRPr="00B74333">
              <w:rPr>
                <w:rFonts w:cstheme="minorHAnsi"/>
                <w:color w:val="000000"/>
              </w:rPr>
              <w:t>51</w:t>
            </w:r>
          </w:p>
        </w:tc>
        <w:tc>
          <w:tcPr>
            <w:tcW w:w="1539" w:type="dxa"/>
            <w:vAlign w:val="center"/>
          </w:tcPr>
          <w:p w14:paraId="2767C1EE" w14:textId="05527026" w:rsidR="00A5330B" w:rsidRPr="00B74333" w:rsidRDefault="002F3589" w:rsidP="001F1F64">
            <w:pPr>
              <w:jc w:val="center"/>
              <w:rPr>
                <w:rFonts w:cstheme="minorHAnsi"/>
                <w:lang w:val="en-US"/>
              </w:rPr>
            </w:pPr>
            <w:r w:rsidRPr="00B74333">
              <w:rPr>
                <w:rFonts w:eastAsia="Times New Roman" w:cstheme="minorHAnsi"/>
              </w:rPr>
              <w:t>86</w:t>
            </w:r>
          </w:p>
        </w:tc>
        <w:tc>
          <w:tcPr>
            <w:tcW w:w="1466" w:type="dxa"/>
            <w:vAlign w:val="center"/>
          </w:tcPr>
          <w:p w14:paraId="52877F22" w14:textId="6AAE2848" w:rsidR="00A5330B" w:rsidRPr="00B74333" w:rsidRDefault="00A5330B" w:rsidP="001F1F64">
            <w:pPr>
              <w:jc w:val="center"/>
              <w:rPr>
                <w:rFonts w:eastAsia="Times New Roman" w:cstheme="minorHAnsi"/>
                <w:vertAlign w:val="superscript"/>
                <w:lang w:val="en-US"/>
              </w:rPr>
            </w:pPr>
            <w:r w:rsidRPr="00B74333">
              <w:rPr>
                <w:rFonts w:eastAsia="Times New Roman" w:cstheme="minorHAnsi"/>
              </w:rPr>
              <w:t xml:space="preserve"> </w:t>
            </w:r>
            <w:r w:rsidR="002F3589" w:rsidRPr="00B74333">
              <w:rPr>
                <w:rFonts w:eastAsia="Times New Roman" w:cstheme="minorHAnsi"/>
              </w:rPr>
              <w:t>103</w:t>
            </w:r>
          </w:p>
        </w:tc>
        <w:tc>
          <w:tcPr>
            <w:tcW w:w="1905" w:type="dxa"/>
            <w:vAlign w:val="center"/>
          </w:tcPr>
          <w:p w14:paraId="3325139E"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330B" w:rsidRPr="00B74333" w14:paraId="46BBDA0A" w14:textId="77777777" w:rsidTr="00217D24">
        <w:trPr>
          <w:trHeight w:val="618"/>
        </w:trPr>
        <w:tc>
          <w:tcPr>
            <w:tcW w:w="2260" w:type="dxa"/>
            <w:vAlign w:val="center"/>
          </w:tcPr>
          <w:p w14:paraId="175FADA5" w14:textId="07483192" w:rsidR="00A5330B" w:rsidRPr="00B74333" w:rsidRDefault="00A5330B" w:rsidP="001F1F64">
            <w:pPr>
              <w:jc w:val="center"/>
              <w:rPr>
                <w:rFonts w:cstheme="minorHAnsi"/>
                <w:lang w:val="en-US"/>
              </w:rPr>
            </w:pPr>
            <w:proofErr w:type="spellStart"/>
            <w:r w:rsidRPr="00B74333">
              <w:rPr>
                <w:rFonts w:cstheme="minorHAnsi"/>
              </w:rPr>
              <w:lastRenderedPageBreak/>
              <w:t>Kipi</w:t>
            </w:r>
            <w:proofErr w:type="spellEnd"/>
            <w:r w:rsidR="006D03EE" w:rsidRPr="00B74333">
              <w:rPr>
                <w:rStyle w:val="FootnoteReference"/>
                <w:rFonts w:cstheme="minorHAnsi"/>
              </w:rPr>
              <w:footnoteReference w:id="11"/>
            </w:r>
          </w:p>
        </w:tc>
        <w:tc>
          <w:tcPr>
            <w:tcW w:w="1539" w:type="dxa"/>
            <w:vAlign w:val="center"/>
          </w:tcPr>
          <w:p w14:paraId="4C95594C" w14:textId="77777777" w:rsidR="00A5330B" w:rsidRPr="00B74333" w:rsidRDefault="00A5330B" w:rsidP="001F1F64">
            <w:pPr>
              <w:jc w:val="center"/>
              <w:rPr>
                <w:rFonts w:cstheme="minorHAnsi"/>
                <w:lang w:val="en-US"/>
              </w:rPr>
            </w:pPr>
            <w:r w:rsidRPr="00B74333">
              <w:rPr>
                <w:rFonts w:cstheme="minorHAnsi"/>
                <w:color w:val="000000"/>
              </w:rPr>
              <w:t>51</w:t>
            </w:r>
          </w:p>
        </w:tc>
        <w:tc>
          <w:tcPr>
            <w:tcW w:w="1539" w:type="dxa"/>
            <w:vAlign w:val="center"/>
          </w:tcPr>
          <w:p w14:paraId="188FA7F5" w14:textId="4288DB84" w:rsidR="00A5330B" w:rsidRPr="00B74333" w:rsidRDefault="002F3589" w:rsidP="001F1F64">
            <w:pPr>
              <w:jc w:val="center"/>
              <w:rPr>
                <w:rFonts w:cstheme="minorHAnsi"/>
                <w:lang w:val="en-US"/>
              </w:rPr>
            </w:pPr>
            <w:r w:rsidRPr="00B74333">
              <w:rPr>
                <w:rFonts w:eastAsia="Times New Roman" w:cstheme="minorHAnsi"/>
              </w:rPr>
              <w:t>86</w:t>
            </w:r>
          </w:p>
        </w:tc>
        <w:tc>
          <w:tcPr>
            <w:tcW w:w="1466" w:type="dxa"/>
            <w:vAlign w:val="center"/>
          </w:tcPr>
          <w:p w14:paraId="5A2B1255" w14:textId="4BD979AD" w:rsidR="00A5330B" w:rsidRPr="00B74333" w:rsidRDefault="00A5330B" w:rsidP="001F1F64">
            <w:pPr>
              <w:jc w:val="center"/>
              <w:rPr>
                <w:rFonts w:eastAsia="Times New Roman" w:cstheme="minorHAnsi"/>
                <w:vertAlign w:val="superscript"/>
                <w:lang w:val="en-US"/>
              </w:rPr>
            </w:pPr>
            <w:r w:rsidRPr="00B74333">
              <w:rPr>
                <w:rFonts w:eastAsia="Times New Roman" w:cstheme="minorHAnsi"/>
              </w:rPr>
              <w:t xml:space="preserve"> </w:t>
            </w:r>
            <w:r w:rsidR="002F3589" w:rsidRPr="00B74333">
              <w:rPr>
                <w:rFonts w:eastAsia="Times New Roman" w:cstheme="minorHAnsi"/>
              </w:rPr>
              <w:t>103</w:t>
            </w:r>
          </w:p>
        </w:tc>
        <w:tc>
          <w:tcPr>
            <w:tcW w:w="1905" w:type="dxa"/>
            <w:vAlign w:val="center"/>
          </w:tcPr>
          <w:p w14:paraId="416B26CA"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330B" w:rsidRPr="00B74333" w14:paraId="5ACB3B37" w14:textId="77777777" w:rsidTr="00217D24">
        <w:trPr>
          <w:trHeight w:val="618"/>
        </w:trPr>
        <w:tc>
          <w:tcPr>
            <w:tcW w:w="2260" w:type="dxa"/>
            <w:vAlign w:val="center"/>
          </w:tcPr>
          <w:p w14:paraId="2FA8967D" w14:textId="20630720" w:rsidR="00A5330B" w:rsidRPr="00B74333" w:rsidRDefault="00A5330B" w:rsidP="001F1F64">
            <w:pPr>
              <w:jc w:val="center"/>
              <w:rPr>
                <w:rFonts w:eastAsia="Times New Roman" w:cstheme="minorHAnsi"/>
                <w:lang w:val="en-US"/>
              </w:rPr>
            </w:pPr>
            <w:r w:rsidRPr="00B74333">
              <w:rPr>
                <w:rFonts w:cstheme="minorHAnsi"/>
                <w:lang w:val="en-US"/>
              </w:rPr>
              <w:t xml:space="preserve">New </w:t>
            </w:r>
            <w:bookmarkStart w:id="22" w:name="_Hlk165287354"/>
            <w:r w:rsidR="004A60D9" w:rsidRPr="00B74333">
              <w:rPr>
                <w:rFonts w:cstheme="minorHAnsi"/>
                <w:lang w:val="en-US"/>
              </w:rPr>
              <w:t>e</w:t>
            </w:r>
            <w:r w:rsidRPr="00B74333">
              <w:rPr>
                <w:rFonts w:cstheme="minorHAnsi"/>
                <w:lang w:val="en-US"/>
              </w:rPr>
              <w:t xml:space="preserve">ntry </w:t>
            </w:r>
            <w:r w:rsidR="004A60D9" w:rsidRPr="00B74333">
              <w:rPr>
                <w:rFonts w:cstheme="minorHAnsi"/>
                <w:lang w:val="en-US"/>
              </w:rPr>
              <w:t>p</w:t>
            </w:r>
            <w:r w:rsidRPr="00B74333">
              <w:rPr>
                <w:rFonts w:cstheme="minorHAnsi"/>
                <w:lang w:val="en-US"/>
              </w:rPr>
              <w:t>oint</w:t>
            </w:r>
            <w:bookmarkEnd w:id="22"/>
            <w:r w:rsidRPr="00B74333">
              <w:rPr>
                <w:rFonts w:cstheme="minorHAnsi"/>
                <w:lang w:val="en-US"/>
              </w:rPr>
              <w:t xml:space="preserve"> – ELPEDISON FSRU</w:t>
            </w:r>
          </w:p>
        </w:tc>
        <w:tc>
          <w:tcPr>
            <w:tcW w:w="1539" w:type="dxa"/>
            <w:vAlign w:val="center"/>
          </w:tcPr>
          <w:p w14:paraId="71A1FF9E" w14:textId="77777777" w:rsidR="00A5330B" w:rsidRPr="00B74333" w:rsidRDefault="00A5330B" w:rsidP="001F1F64">
            <w:pPr>
              <w:jc w:val="center"/>
              <w:rPr>
                <w:rFonts w:cstheme="minorHAnsi"/>
                <w:lang w:val="en-US"/>
              </w:rPr>
            </w:pPr>
            <w:r w:rsidRPr="00B74333">
              <w:rPr>
                <w:rFonts w:cstheme="minorHAnsi"/>
                <w:color w:val="000000"/>
              </w:rPr>
              <w:t>51</w:t>
            </w:r>
          </w:p>
        </w:tc>
        <w:tc>
          <w:tcPr>
            <w:tcW w:w="1539" w:type="dxa"/>
            <w:vAlign w:val="center"/>
          </w:tcPr>
          <w:p w14:paraId="6ED831CD" w14:textId="77777777" w:rsidR="00A5330B" w:rsidRPr="00B74333" w:rsidRDefault="00A5330B" w:rsidP="001F1F64">
            <w:pPr>
              <w:jc w:val="center"/>
              <w:rPr>
                <w:rFonts w:cstheme="minorHAnsi"/>
                <w:lang w:val="en-US"/>
              </w:rPr>
            </w:pPr>
            <w:r w:rsidRPr="00B74333">
              <w:rPr>
                <w:rFonts w:cstheme="minorHAnsi"/>
                <w:color w:val="000000"/>
              </w:rPr>
              <w:t>86</w:t>
            </w:r>
          </w:p>
        </w:tc>
        <w:tc>
          <w:tcPr>
            <w:tcW w:w="1466" w:type="dxa"/>
            <w:vAlign w:val="center"/>
          </w:tcPr>
          <w:p w14:paraId="76FB8AC4" w14:textId="77777777" w:rsidR="00A5330B" w:rsidRPr="00B74333" w:rsidRDefault="00A5330B" w:rsidP="001F1F64">
            <w:pPr>
              <w:jc w:val="center"/>
              <w:rPr>
                <w:rFonts w:cstheme="minorHAnsi"/>
                <w:lang w:val="en-US"/>
              </w:rPr>
            </w:pPr>
            <w:r w:rsidRPr="00B74333">
              <w:rPr>
                <w:rFonts w:cstheme="minorHAnsi"/>
                <w:color w:val="000000"/>
              </w:rPr>
              <w:t>174,4</w:t>
            </w:r>
          </w:p>
        </w:tc>
        <w:tc>
          <w:tcPr>
            <w:tcW w:w="1905" w:type="dxa"/>
            <w:vAlign w:val="center"/>
          </w:tcPr>
          <w:p w14:paraId="2B0786CD"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330B" w:rsidRPr="00B74333" w14:paraId="25FA45B5" w14:textId="77777777" w:rsidTr="00217D24">
        <w:trPr>
          <w:trHeight w:val="618"/>
        </w:trPr>
        <w:tc>
          <w:tcPr>
            <w:tcW w:w="2260" w:type="dxa"/>
            <w:vAlign w:val="center"/>
          </w:tcPr>
          <w:p w14:paraId="41AB9787" w14:textId="14763ECA" w:rsidR="00A5330B" w:rsidRPr="00B74333" w:rsidRDefault="00A5330B" w:rsidP="001F1F64">
            <w:pPr>
              <w:jc w:val="center"/>
              <w:rPr>
                <w:rFonts w:eastAsia="Times New Roman" w:cstheme="minorHAnsi"/>
                <w:lang w:val="en-US"/>
              </w:rPr>
            </w:pPr>
            <w:r w:rsidRPr="00B74333">
              <w:rPr>
                <w:rFonts w:cstheme="minorHAnsi"/>
                <w:lang w:val="en-US"/>
              </w:rPr>
              <w:t xml:space="preserve">New </w:t>
            </w:r>
            <w:r w:rsidR="004A60D9" w:rsidRPr="00B74333">
              <w:rPr>
                <w:rFonts w:cstheme="minorHAnsi"/>
                <w:lang w:val="en-US"/>
              </w:rPr>
              <w:t xml:space="preserve">entry point </w:t>
            </w:r>
            <w:r w:rsidRPr="00B74333">
              <w:rPr>
                <w:rFonts w:cstheme="minorHAnsi"/>
                <w:lang w:val="en-US"/>
              </w:rPr>
              <w:t>– ARGO FSRU</w:t>
            </w:r>
          </w:p>
        </w:tc>
        <w:tc>
          <w:tcPr>
            <w:tcW w:w="1539" w:type="dxa"/>
            <w:vAlign w:val="center"/>
          </w:tcPr>
          <w:p w14:paraId="6EE0FB1E" w14:textId="77777777" w:rsidR="00A5330B" w:rsidRPr="00B74333" w:rsidRDefault="00A5330B" w:rsidP="001F1F64">
            <w:pPr>
              <w:jc w:val="center"/>
              <w:rPr>
                <w:rFonts w:cstheme="minorHAnsi"/>
                <w:lang w:val="en-US"/>
              </w:rPr>
            </w:pPr>
            <w:r w:rsidRPr="00B74333">
              <w:rPr>
                <w:rFonts w:cstheme="minorHAnsi"/>
                <w:color w:val="000000"/>
              </w:rPr>
              <w:t>51</w:t>
            </w:r>
          </w:p>
        </w:tc>
        <w:tc>
          <w:tcPr>
            <w:tcW w:w="1539" w:type="dxa"/>
            <w:vAlign w:val="center"/>
          </w:tcPr>
          <w:p w14:paraId="480EAF60" w14:textId="77777777" w:rsidR="00A5330B" w:rsidRPr="00B74333" w:rsidRDefault="00A5330B" w:rsidP="001F1F64">
            <w:pPr>
              <w:jc w:val="center"/>
              <w:rPr>
                <w:rFonts w:cstheme="minorHAnsi"/>
                <w:lang w:val="en-US"/>
              </w:rPr>
            </w:pPr>
            <w:r w:rsidRPr="00B74333">
              <w:rPr>
                <w:rFonts w:cstheme="minorHAnsi"/>
                <w:color w:val="000000"/>
              </w:rPr>
              <w:t>86</w:t>
            </w:r>
          </w:p>
        </w:tc>
        <w:tc>
          <w:tcPr>
            <w:tcW w:w="1466" w:type="dxa"/>
            <w:vAlign w:val="center"/>
          </w:tcPr>
          <w:p w14:paraId="766ACAEA" w14:textId="77777777" w:rsidR="00A5330B" w:rsidRPr="00B74333" w:rsidRDefault="00A5330B" w:rsidP="001F1F64">
            <w:pPr>
              <w:jc w:val="center"/>
              <w:rPr>
                <w:rFonts w:cstheme="minorHAnsi"/>
                <w:lang w:val="en-US"/>
              </w:rPr>
            </w:pPr>
            <w:r w:rsidRPr="00B74333">
              <w:rPr>
                <w:rFonts w:cstheme="minorHAnsi"/>
                <w:color w:val="000000"/>
              </w:rPr>
              <w:t>140,</w:t>
            </w:r>
            <w:r w:rsidRPr="00B74333" w:rsidDel="0013756B">
              <w:rPr>
                <w:rFonts w:cstheme="minorHAnsi"/>
                <w:color w:val="000000"/>
              </w:rPr>
              <w:t>6</w:t>
            </w:r>
          </w:p>
        </w:tc>
        <w:tc>
          <w:tcPr>
            <w:tcW w:w="1905" w:type="dxa"/>
            <w:vAlign w:val="center"/>
          </w:tcPr>
          <w:p w14:paraId="79F7796D"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330B" w:rsidRPr="00B74333" w14:paraId="7BB8686D" w14:textId="77777777" w:rsidTr="00217D24">
        <w:trPr>
          <w:trHeight w:val="618"/>
        </w:trPr>
        <w:tc>
          <w:tcPr>
            <w:tcW w:w="2260" w:type="dxa"/>
            <w:vAlign w:val="center"/>
          </w:tcPr>
          <w:p w14:paraId="0D50F504" w14:textId="4741E7DE" w:rsidR="00A5330B" w:rsidRPr="00B74333" w:rsidRDefault="00A5330B" w:rsidP="001F1F64">
            <w:pPr>
              <w:jc w:val="center"/>
              <w:rPr>
                <w:rFonts w:eastAsia="Times New Roman" w:cstheme="minorHAnsi"/>
                <w:lang w:val="en-US"/>
              </w:rPr>
            </w:pPr>
            <w:r w:rsidRPr="00B74333">
              <w:rPr>
                <w:rFonts w:cstheme="minorHAnsi"/>
                <w:lang w:val="en-US"/>
              </w:rPr>
              <w:t xml:space="preserve">New </w:t>
            </w:r>
            <w:r w:rsidR="004A60D9" w:rsidRPr="00B74333">
              <w:rPr>
                <w:rFonts w:cstheme="minorHAnsi"/>
                <w:lang w:val="en-US"/>
              </w:rPr>
              <w:t xml:space="preserve">entry point </w:t>
            </w:r>
            <w:r w:rsidRPr="00B74333">
              <w:rPr>
                <w:rFonts w:cstheme="minorHAnsi"/>
                <w:lang w:val="en-US"/>
              </w:rPr>
              <w:t>– DIORYGA GAS FSRU</w:t>
            </w:r>
          </w:p>
        </w:tc>
        <w:tc>
          <w:tcPr>
            <w:tcW w:w="1539" w:type="dxa"/>
            <w:vAlign w:val="center"/>
          </w:tcPr>
          <w:p w14:paraId="75D46022" w14:textId="77777777" w:rsidR="00A5330B" w:rsidRPr="00B74333" w:rsidRDefault="00A5330B" w:rsidP="001F1F64">
            <w:pPr>
              <w:jc w:val="center"/>
              <w:rPr>
                <w:rFonts w:cstheme="minorHAnsi"/>
                <w:lang w:val="en-US"/>
              </w:rPr>
            </w:pPr>
            <w:r w:rsidRPr="00B74333">
              <w:rPr>
                <w:rFonts w:cstheme="minorHAnsi"/>
                <w:color w:val="000000"/>
              </w:rPr>
              <w:t>6,8</w:t>
            </w:r>
          </w:p>
        </w:tc>
        <w:tc>
          <w:tcPr>
            <w:tcW w:w="1539" w:type="dxa"/>
            <w:vAlign w:val="center"/>
          </w:tcPr>
          <w:p w14:paraId="6F78F5B4" w14:textId="77777777" w:rsidR="00A5330B" w:rsidRPr="00B74333" w:rsidRDefault="00A5330B" w:rsidP="001F1F64">
            <w:pPr>
              <w:jc w:val="center"/>
              <w:rPr>
                <w:rFonts w:cstheme="minorHAnsi"/>
                <w:lang w:val="en-US"/>
              </w:rPr>
            </w:pPr>
            <w:r w:rsidRPr="00B74333">
              <w:rPr>
                <w:rFonts w:cstheme="minorHAnsi"/>
                <w:color w:val="000000"/>
              </w:rPr>
              <w:t>31</w:t>
            </w:r>
          </w:p>
        </w:tc>
        <w:tc>
          <w:tcPr>
            <w:tcW w:w="1466" w:type="dxa"/>
            <w:vAlign w:val="center"/>
          </w:tcPr>
          <w:p w14:paraId="0E76F640" w14:textId="77777777" w:rsidR="00A5330B" w:rsidRPr="00B74333" w:rsidRDefault="00A5330B" w:rsidP="001F1F64">
            <w:pPr>
              <w:jc w:val="center"/>
              <w:rPr>
                <w:rFonts w:cstheme="minorHAnsi"/>
                <w:lang w:val="en-US"/>
              </w:rPr>
            </w:pPr>
            <w:r w:rsidRPr="00B74333">
              <w:rPr>
                <w:rFonts w:cstheme="minorHAnsi"/>
                <w:color w:val="000000"/>
              </w:rPr>
              <w:t>121</w:t>
            </w:r>
          </w:p>
        </w:tc>
        <w:tc>
          <w:tcPr>
            <w:tcW w:w="1905" w:type="dxa"/>
            <w:vAlign w:val="center"/>
          </w:tcPr>
          <w:p w14:paraId="04D1B278" w14:textId="77777777" w:rsidR="00A5330B" w:rsidRPr="00B74333" w:rsidRDefault="00A5330B" w:rsidP="001F1F64">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330B" w:rsidRPr="00B74333" w14:paraId="4117623D" w14:textId="77777777" w:rsidTr="00217D24">
        <w:trPr>
          <w:trHeight w:val="238"/>
        </w:trPr>
        <w:tc>
          <w:tcPr>
            <w:tcW w:w="2260" w:type="dxa"/>
            <w:vAlign w:val="center"/>
          </w:tcPr>
          <w:p w14:paraId="6C8B1EB2" w14:textId="77777777" w:rsidR="00A5330B" w:rsidRPr="00B74333" w:rsidRDefault="00A5330B" w:rsidP="001F1F64">
            <w:pPr>
              <w:jc w:val="center"/>
              <w:rPr>
                <w:rFonts w:eastAsia="Times New Roman" w:cstheme="minorHAnsi"/>
                <w:b/>
                <w:lang w:val="en-US"/>
              </w:rPr>
            </w:pPr>
            <w:proofErr w:type="spellStart"/>
            <w:r w:rsidRPr="00B74333">
              <w:rPr>
                <w:rFonts w:eastAsia="Times New Roman" w:cstheme="minorHAnsi"/>
                <w:b/>
              </w:rPr>
              <w:t>Starting</w:t>
            </w:r>
            <w:proofErr w:type="spellEnd"/>
            <w:r w:rsidRPr="00B74333">
              <w:rPr>
                <w:rFonts w:eastAsia="Times New Roman" w:cstheme="minorHAnsi"/>
                <w:b/>
              </w:rPr>
              <w:t xml:space="preserve"> </w:t>
            </w:r>
            <w:proofErr w:type="spellStart"/>
            <w:r w:rsidRPr="00B74333">
              <w:rPr>
                <w:rFonts w:eastAsia="Times New Roman" w:cstheme="minorHAnsi"/>
                <w:b/>
              </w:rPr>
              <w:t>Date</w:t>
            </w:r>
            <w:proofErr w:type="spellEnd"/>
          </w:p>
        </w:tc>
        <w:tc>
          <w:tcPr>
            <w:tcW w:w="1539" w:type="dxa"/>
            <w:vAlign w:val="center"/>
          </w:tcPr>
          <w:p w14:paraId="302591AB" w14:textId="77777777" w:rsidR="00A5330B" w:rsidRPr="00B74333" w:rsidRDefault="00A5330B" w:rsidP="001F1F64">
            <w:pPr>
              <w:jc w:val="center"/>
              <w:rPr>
                <w:rFonts w:cstheme="minorHAnsi"/>
                <w:b/>
                <w:lang w:val="en-US"/>
              </w:rPr>
            </w:pPr>
            <w:r w:rsidRPr="00B74333">
              <w:rPr>
                <w:rFonts w:cstheme="minorHAnsi"/>
                <w:b/>
              </w:rPr>
              <w:t>Q4 2028</w:t>
            </w:r>
          </w:p>
        </w:tc>
        <w:tc>
          <w:tcPr>
            <w:tcW w:w="1539" w:type="dxa"/>
            <w:vAlign w:val="center"/>
          </w:tcPr>
          <w:p w14:paraId="2C522277" w14:textId="77777777" w:rsidR="00A5330B" w:rsidRPr="00B74333" w:rsidRDefault="00A5330B" w:rsidP="001F1F64">
            <w:pPr>
              <w:jc w:val="center"/>
              <w:rPr>
                <w:rFonts w:cstheme="minorHAnsi"/>
                <w:b/>
                <w:lang w:val="en-US"/>
              </w:rPr>
            </w:pPr>
            <w:r w:rsidRPr="00B74333">
              <w:rPr>
                <w:rFonts w:cstheme="minorHAnsi"/>
                <w:b/>
              </w:rPr>
              <w:t>Q2 2029</w:t>
            </w:r>
            <w:r w:rsidRPr="00B74333">
              <w:rPr>
                <w:rFonts w:cstheme="minorHAnsi"/>
                <w:b/>
                <w:vertAlign w:val="superscript"/>
              </w:rPr>
              <w:footnoteReference w:id="12"/>
            </w:r>
          </w:p>
        </w:tc>
        <w:tc>
          <w:tcPr>
            <w:tcW w:w="1466" w:type="dxa"/>
            <w:vAlign w:val="center"/>
          </w:tcPr>
          <w:p w14:paraId="660104CC" w14:textId="77777777" w:rsidR="00A5330B" w:rsidRPr="00B74333" w:rsidRDefault="00A5330B" w:rsidP="001F1F64">
            <w:pPr>
              <w:jc w:val="center"/>
              <w:rPr>
                <w:rFonts w:cstheme="minorHAnsi"/>
                <w:b/>
                <w:lang w:val="en-US"/>
              </w:rPr>
            </w:pPr>
            <w:r w:rsidRPr="00B74333">
              <w:rPr>
                <w:rFonts w:cstheme="minorHAnsi"/>
                <w:b/>
              </w:rPr>
              <w:t>Q4 2029</w:t>
            </w:r>
          </w:p>
        </w:tc>
        <w:tc>
          <w:tcPr>
            <w:tcW w:w="1905" w:type="dxa"/>
            <w:vAlign w:val="center"/>
          </w:tcPr>
          <w:p w14:paraId="5021F095" w14:textId="77777777" w:rsidR="00A5330B" w:rsidRPr="00B74333" w:rsidRDefault="00A5330B" w:rsidP="001F1F64">
            <w:pPr>
              <w:jc w:val="center"/>
              <w:rPr>
                <w:rFonts w:cstheme="minorHAnsi"/>
                <w:lang w:val="en-US"/>
              </w:rPr>
            </w:pPr>
          </w:p>
        </w:tc>
      </w:tr>
    </w:tbl>
    <w:p w14:paraId="2D084AF7" w14:textId="77777777" w:rsidR="00FE4475" w:rsidRPr="00B74333" w:rsidRDefault="00FE4475" w:rsidP="00FE4475">
      <w:pPr>
        <w:widowControl w:val="0"/>
        <w:suppressAutoHyphens/>
        <w:spacing w:after="120"/>
        <w:rPr>
          <w:rFonts w:cstheme="minorHAnsi"/>
          <w:b/>
          <w:color w:val="FF0000"/>
          <w:sz w:val="18"/>
          <w:szCs w:val="18"/>
        </w:rPr>
      </w:pPr>
    </w:p>
    <w:p w14:paraId="6B393431" w14:textId="7B0EE463" w:rsidR="002F2B9E" w:rsidRPr="00B74333" w:rsidRDefault="002F2B9E" w:rsidP="00217D24">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 xml:space="preserve">The Offer Level(s) of </w:t>
      </w:r>
      <w:r w:rsidR="00B567C3" w:rsidRPr="00B74333">
        <w:rPr>
          <w:rFonts w:cstheme="minorHAnsi"/>
        </w:rPr>
        <w:fldChar w:fldCharType="begin"/>
      </w:r>
      <w:r w:rsidR="00B567C3" w:rsidRPr="00B74333">
        <w:rPr>
          <w:rFonts w:cstheme="minorHAnsi"/>
        </w:rPr>
        <w:instrText xml:space="preserve"> REF _Ref163480563 \h </w:instrText>
      </w:r>
      <w:r w:rsidR="00217D24" w:rsidRPr="00B74333">
        <w:rPr>
          <w:rFonts w:cstheme="minorHAnsi"/>
        </w:rPr>
        <w:instrText xml:space="preserve"> \* MERGEFORMAT </w:instrText>
      </w:r>
      <w:r w:rsidR="00B567C3" w:rsidRPr="00B74333">
        <w:rPr>
          <w:rFonts w:cstheme="minorHAnsi"/>
        </w:rPr>
      </w:r>
      <w:r w:rsidR="00B567C3" w:rsidRPr="00B74333">
        <w:rPr>
          <w:rFonts w:cstheme="minorHAnsi"/>
        </w:rPr>
        <w:fldChar w:fldCharType="separate"/>
      </w:r>
      <w:r w:rsidR="00601092" w:rsidRPr="00B74333" w:rsidDel="00436FED">
        <w:rPr>
          <w:rFonts w:cstheme="minorHAnsi"/>
        </w:rPr>
        <w:t>Table 4</w:t>
      </w:r>
      <w:r w:rsidR="00B567C3" w:rsidRPr="00B74333">
        <w:rPr>
          <w:rFonts w:cstheme="minorHAnsi"/>
        </w:rPr>
        <w:fldChar w:fldCharType="end"/>
      </w:r>
      <w:r w:rsidR="00B567C3" w:rsidRPr="00B74333">
        <w:rPr>
          <w:rFonts w:cstheme="minorHAnsi"/>
        </w:rPr>
        <w:t xml:space="preserve"> </w:t>
      </w:r>
      <w:r w:rsidRPr="00B74333">
        <w:rPr>
          <w:rFonts w:cstheme="minorHAnsi"/>
        </w:rPr>
        <w:t>refer</w:t>
      </w:r>
      <w:r w:rsidR="000B2580" w:rsidRPr="00B74333">
        <w:rPr>
          <w:rFonts w:cstheme="minorHAnsi"/>
        </w:rPr>
        <w:t xml:space="preserve"> to </w:t>
      </w:r>
      <w:r w:rsidRPr="00B74333">
        <w:rPr>
          <w:rFonts w:cstheme="minorHAnsi"/>
        </w:rPr>
        <w:t xml:space="preserve">the maximum levels of incremental </w:t>
      </w:r>
      <w:r w:rsidR="000B2580" w:rsidRPr="00B74333">
        <w:rPr>
          <w:rFonts w:cstheme="minorHAnsi"/>
        </w:rPr>
        <w:t xml:space="preserve">capacity </w:t>
      </w:r>
      <w:r w:rsidRPr="00B74333">
        <w:rPr>
          <w:rFonts w:cstheme="minorHAnsi"/>
        </w:rPr>
        <w:t>which</w:t>
      </w:r>
      <w:r w:rsidR="000B2580" w:rsidRPr="00B74333">
        <w:rPr>
          <w:rFonts w:cstheme="minorHAnsi"/>
        </w:rPr>
        <w:t xml:space="preserve"> can be offered </w:t>
      </w:r>
      <w:r w:rsidRPr="00B74333">
        <w:rPr>
          <w:rFonts w:cstheme="minorHAnsi"/>
        </w:rPr>
        <w:t xml:space="preserve">per Expansion Project and per Entry / Exit Point of DESFA System, individually. However, if during the Binding Bidding Phase, capacity is requested to more than one of the displayed Entry/Exit points, the constraints shown in </w:t>
      </w:r>
      <w:r w:rsidR="00B567C3" w:rsidRPr="00B74333">
        <w:rPr>
          <w:rFonts w:cstheme="minorHAnsi"/>
        </w:rPr>
        <w:fldChar w:fldCharType="begin"/>
      </w:r>
      <w:r w:rsidR="00B567C3" w:rsidRPr="00B74333">
        <w:rPr>
          <w:rFonts w:cstheme="minorHAnsi"/>
        </w:rPr>
        <w:instrText xml:space="preserve"> REF _Ref163480572 \h </w:instrText>
      </w:r>
      <w:r w:rsidR="00217D24" w:rsidRPr="00B74333">
        <w:rPr>
          <w:rFonts w:cstheme="minorHAnsi"/>
        </w:rPr>
        <w:instrText xml:space="preserve"> \* MERGEFORMAT </w:instrText>
      </w:r>
      <w:r w:rsidR="00B567C3" w:rsidRPr="00B74333">
        <w:rPr>
          <w:rFonts w:cstheme="minorHAnsi"/>
        </w:rPr>
      </w:r>
      <w:r w:rsidR="00B567C3" w:rsidRPr="00B74333">
        <w:rPr>
          <w:rFonts w:cstheme="minorHAnsi"/>
        </w:rPr>
        <w:fldChar w:fldCharType="separate"/>
      </w:r>
      <w:r w:rsidR="00601092" w:rsidRPr="00B74333" w:rsidDel="00436FED">
        <w:rPr>
          <w:rFonts w:cstheme="minorHAnsi"/>
        </w:rPr>
        <w:t>Table 5</w:t>
      </w:r>
      <w:r w:rsidR="00B567C3" w:rsidRPr="00B74333">
        <w:rPr>
          <w:rFonts w:cstheme="minorHAnsi"/>
        </w:rPr>
        <w:fldChar w:fldCharType="end"/>
      </w:r>
      <w:r w:rsidR="00B567C3" w:rsidRPr="00B74333">
        <w:rPr>
          <w:rFonts w:cstheme="minorHAnsi"/>
        </w:rPr>
        <w:t xml:space="preserve"> </w:t>
      </w:r>
      <w:r w:rsidRPr="00B74333">
        <w:rPr>
          <w:rFonts w:cstheme="minorHAnsi"/>
        </w:rPr>
        <w:t xml:space="preserve">must be fulfilled simultaneously with the maximum levels of capacity of </w:t>
      </w:r>
      <w:r w:rsidR="00B567C3" w:rsidRPr="00B74333">
        <w:rPr>
          <w:rFonts w:cstheme="minorHAnsi"/>
        </w:rPr>
        <w:fldChar w:fldCharType="begin"/>
      </w:r>
      <w:r w:rsidR="00B567C3" w:rsidRPr="00B74333">
        <w:rPr>
          <w:rFonts w:cstheme="minorHAnsi"/>
        </w:rPr>
        <w:instrText xml:space="preserve"> REF _Ref163480563 \h </w:instrText>
      </w:r>
      <w:r w:rsidR="00217D24" w:rsidRPr="00B74333">
        <w:rPr>
          <w:rFonts w:cstheme="minorHAnsi"/>
        </w:rPr>
        <w:instrText xml:space="preserve"> \* MERGEFORMAT </w:instrText>
      </w:r>
      <w:r w:rsidR="00B567C3" w:rsidRPr="00B74333">
        <w:rPr>
          <w:rFonts w:cstheme="minorHAnsi"/>
        </w:rPr>
      </w:r>
      <w:r w:rsidR="00B567C3" w:rsidRPr="00B74333">
        <w:rPr>
          <w:rFonts w:cstheme="minorHAnsi"/>
        </w:rPr>
        <w:fldChar w:fldCharType="separate"/>
      </w:r>
      <w:r w:rsidR="00601092" w:rsidRPr="00B74333" w:rsidDel="00436FED">
        <w:rPr>
          <w:rFonts w:cstheme="minorHAnsi"/>
        </w:rPr>
        <w:t>Table 4</w:t>
      </w:r>
      <w:r w:rsidR="00B567C3" w:rsidRPr="00B74333">
        <w:rPr>
          <w:rFonts w:cstheme="minorHAnsi"/>
        </w:rPr>
        <w:fldChar w:fldCharType="end"/>
      </w:r>
      <w:r w:rsidRPr="00B74333">
        <w:rPr>
          <w:rFonts w:cstheme="minorHAnsi"/>
        </w:rPr>
        <w:t>.</w:t>
      </w:r>
    </w:p>
    <w:p w14:paraId="260FB676" w14:textId="00072A53" w:rsidR="00803E1A" w:rsidRPr="00B74333" w:rsidRDefault="002F2B9E" w:rsidP="00217D24">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 xml:space="preserve">In particular, the sum of the Binding Bids at a specific Entry / Exit point cannot exceed the respective Offer Level of </w:t>
      </w:r>
      <w:r w:rsidR="00B567C3" w:rsidRPr="00B74333">
        <w:rPr>
          <w:rFonts w:cstheme="minorHAnsi"/>
        </w:rPr>
        <w:fldChar w:fldCharType="begin"/>
      </w:r>
      <w:r w:rsidR="00B567C3" w:rsidRPr="00B74333">
        <w:rPr>
          <w:rFonts w:cstheme="minorHAnsi"/>
        </w:rPr>
        <w:instrText xml:space="preserve"> REF _Ref163480563 \h </w:instrText>
      </w:r>
      <w:r w:rsidR="00217D24" w:rsidRPr="00B74333">
        <w:rPr>
          <w:rFonts w:cstheme="minorHAnsi"/>
        </w:rPr>
        <w:instrText xml:space="preserve"> \* MERGEFORMAT </w:instrText>
      </w:r>
      <w:r w:rsidR="00B567C3" w:rsidRPr="00B74333">
        <w:rPr>
          <w:rFonts w:cstheme="minorHAnsi"/>
        </w:rPr>
      </w:r>
      <w:r w:rsidR="00B567C3" w:rsidRPr="00B74333">
        <w:rPr>
          <w:rFonts w:cstheme="minorHAnsi"/>
        </w:rPr>
        <w:fldChar w:fldCharType="separate"/>
      </w:r>
      <w:r w:rsidR="00601092" w:rsidRPr="00B74333" w:rsidDel="00436FED">
        <w:rPr>
          <w:rFonts w:cstheme="minorHAnsi"/>
        </w:rPr>
        <w:t>Table 4</w:t>
      </w:r>
      <w:r w:rsidR="00B567C3" w:rsidRPr="00B74333">
        <w:rPr>
          <w:rFonts w:cstheme="minorHAnsi"/>
        </w:rPr>
        <w:fldChar w:fldCharType="end"/>
      </w:r>
      <w:r w:rsidRPr="00B74333">
        <w:rPr>
          <w:rFonts w:cstheme="minorHAnsi"/>
        </w:rPr>
        <w:t xml:space="preserve"> and, simultaneously, the sum of the Binding Bids of all Entry/Exit points belonging to the same Cluster with this specific point, cannot exceed the respective limit of </w:t>
      </w:r>
      <w:r w:rsidR="00B567C3" w:rsidRPr="00B74333">
        <w:rPr>
          <w:rFonts w:cstheme="minorHAnsi"/>
        </w:rPr>
        <w:fldChar w:fldCharType="begin"/>
      </w:r>
      <w:r w:rsidR="00B567C3" w:rsidRPr="00B74333">
        <w:rPr>
          <w:rFonts w:cstheme="minorHAnsi"/>
        </w:rPr>
        <w:instrText xml:space="preserve"> REF _Ref163480572 \h </w:instrText>
      </w:r>
      <w:r w:rsidR="00217D24" w:rsidRPr="00B74333">
        <w:rPr>
          <w:rFonts w:cstheme="minorHAnsi"/>
        </w:rPr>
        <w:instrText xml:space="preserve"> \* MERGEFORMAT </w:instrText>
      </w:r>
      <w:r w:rsidR="00B567C3" w:rsidRPr="00B74333">
        <w:rPr>
          <w:rFonts w:cstheme="minorHAnsi"/>
        </w:rPr>
      </w:r>
      <w:r w:rsidR="00B567C3" w:rsidRPr="00B74333">
        <w:rPr>
          <w:rFonts w:cstheme="minorHAnsi"/>
        </w:rPr>
        <w:fldChar w:fldCharType="separate"/>
      </w:r>
      <w:r w:rsidR="00601092" w:rsidRPr="00B74333" w:rsidDel="00436FED">
        <w:rPr>
          <w:rFonts w:cstheme="minorHAnsi"/>
        </w:rPr>
        <w:t>Table 5</w:t>
      </w:r>
      <w:r w:rsidR="00B567C3" w:rsidRPr="00B74333">
        <w:rPr>
          <w:rFonts w:cstheme="minorHAnsi"/>
        </w:rPr>
        <w:fldChar w:fldCharType="end"/>
      </w:r>
      <w:r w:rsidRPr="00B74333">
        <w:rPr>
          <w:rFonts w:cstheme="minorHAnsi"/>
        </w:rPr>
        <w:t>.</w:t>
      </w:r>
    </w:p>
    <w:p w14:paraId="254B55E1" w14:textId="39B1C3EB" w:rsidR="008975AF" w:rsidRPr="00B74333" w:rsidRDefault="008975AF" w:rsidP="00217D24">
      <w:pPr>
        <w:pStyle w:val="Caption"/>
        <w:keepNext/>
        <w:spacing w:after="120"/>
        <w:ind w:left="425"/>
        <w:rPr>
          <w:rFonts w:asciiTheme="minorHAnsi" w:hAnsiTheme="minorHAnsi" w:cstheme="minorHAnsi"/>
          <w:sz w:val="20"/>
          <w:szCs w:val="20"/>
          <w:lang w:val="en-US"/>
        </w:rPr>
      </w:pPr>
      <w:bookmarkStart w:id="23" w:name="_Ref163480572"/>
      <w:r w:rsidRPr="00B74333">
        <w:rPr>
          <w:rFonts w:asciiTheme="minorHAnsi" w:hAnsiTheme="minorHAnsi" w:cstheme="minorHAnsi"/>
          <w:sz w:val="20"/>
          <w:szCs w:val="20"/>
          <w:lang w:val="en-US"/>
        </w:rPr>
        <w:t xml:space="preserve">Table </w:t>
      </w:r>
      <w:r w:rsidRPr="00B74333">
        <w:rPr>
          <w:rFonts w:asciiTheme="minorHAnsi" w:hAnsiTheme="minorHAnsi" w:cstheme="minorHAnsi"/>
          <w:sz w:val="20"/>
          <w:szCs w:val="20"/>
          <w:lang w:val="en-US"/>
        </w:rPr>
        <w:fldChar w:fldCharType="begin"/>
      </w:r>
      <w:r w:rsidRPr="00B74333">
        <w:rPr>
          <w:rFonts w:asciiTheme="minorHAnsi" w:hAnsiTheme="minorHAnsi" w:cstheme="minorHAnsi"/>
          <w:sz w:val="20"/>
          <w:szCs w:val="20"/>
          <w:lang w:val="en-US"/>
        </w:rPr>
        <w:instrText xml:space="preserve"> SEQ Table \* ARABIC </w:instrText>
      </w:r>
      <w:r w:rsidRPr="00B74333">
        <w:rPr>
          <w:rFonts w:asciiTheme="minorHAnsi" w:hAnsiTheme="minorHAnsi" w:cstheme="minorHAnsi"/>
          <w:sz w:val="20"/>
          <w:szCs w:val="20"/>
          <w:lang w:val="en-US"/>
        </w:rPr>
        <w:fldChar w:fldCharType="separate"/>
      </w:r>
      <w:r w:rsidR="00436FED" w:rsidRPr="00B74333">
        <w:rPr>
          <w:rFonts w:asciiTheme="minorHAnsi" w:hAnsiTheme="minorHAnsi" w:cstheme="minorHAnsi"/>
          <w:sz w:val="20"/>
          <w:szCs w:val="20"/>
          <w:lang w:val="en-US"/>
        </w:rPr>
        <w:t>5</w:t>
      </w:r>
      <w:r w:rsidRPr="00B74333">
        <w:rPr>
          <w:rFonts w:asciiTheme="minorHAnsi" w:hAnsiTheme="minorHAnsi" w:cstheme="minorHAnsi"/>
          <w:sz w:val="20"/>
          <w:szCs w:val="20"/>
          <w:lang w:val="en-US"/>
        </w:rPr>
        <w:fldChar w:fldCharType="end"/>
      </w:r>
      <w:bookmarkEnd w:id="23"/>
      <w:r w:rsidRPr="00B74333">
        <w:rPr>
          <w:rFonts w:asciiTheme="minorHAnsi" w:hAnsiTheme="minorHAnsi" w:cstheme="minorHAnsi"/>
          <w:sz w:val="20"/>
          <w:szCs w:val="20"/>
          <w:lang w:val="en-US"/>
        </w:rPr>
        <w:t xml:space="preserve">: Constraints of Clusters of Points   </w:t>
      </w:r>
    </w:p>
    <w:tbl>
      <w:tblPr>
        <w:tblStyle w:val="TableGrid2"/>
        <w:tblW w:w="8646" w:type="dxa"/>
        <w:tblInd w:w="421" w:type="dxa"/>
        <w:tblLook w:val="04A0" w:firstRow="1" w:lastRow="0" w:firstColumn="1" w:lastColumn="0" w:noHBand="0" w:noVBand="1"/>
      </w:tblPr>
      <w:tblGrid>
        <w:gridCol w:w="1896"/>
        <w:gridCol w:w="1038"/>
        <w:gridCol w:w="1373"/>
        <w:gridCol w:w="12"/>
        <w:gridCol w:w="1200"/>
        <w:gridCol w:w="8"/>
        <w:gridCol w:w="1207"/>
        <w:gridCol w:w="1912"/>
      </w:tblGrid>
      <w:tr w:rsidR="00A52D81" w:rsidRPr="00B74333" w14:paraId="7B306BE1" w14:textId="77777777" w:rsidTr="00D22304">
        <w:trPr>
          <w:trHeight w:val="300"/>
        </w:trPr>
        <w:tc>
          <w:tcPr>
            <w:tcW w:w="1896" w:type="dxa"/>
            <w:vMerge w:val="restart"/>
            <w:shd w:val="clear" w:color="auto" w:fill="008080"/>
            <w:vAlign w:val="center"/>
          </w:tcPr>
          <w:p w14:paraId="3A253564" w14:textId="77777777" w:rsidR="00A52D81" w:rsidRPr="00B74333" w:rsidRDefault="00A52D81" w:rsidP="009C1A5D">
            <w:pPr>
              <w:jc w:val="center"/>
              <w:rPr>
                <w:rFonts w:eastAsia="Times New Roman" w:cstheme="minorHAnsi"/>
                <w:b/>
                <w:color w:val="FFFFFF"/>
                <w:lang w:val="en-US"/>
              </w:rPr>
            </w:pPr>
            <w:r w:rsidRPr="00B74333">
              <w:rPr>
                <w:rFonts w:eastAsia="Times New Roman" w:cstheme="minorHAnsi"/>
                <w:b/>
                <w:color w:val="FFFFFF"/>
                <w:lang w:val="en-US"/>
              </w:rPr>
              <w:t>Entry / Exit Point of DESFA System</w:t>
            </w:r>
          </w:p>
        </w:tc>
        <w:tc>
          <w:tcPr>
            <w:tcW w:w="1038" w:type="dxa"/>
            <w:vMerge w:val="restart"/>
            <w:shd w:val="clear" w:color="auto" w:fill="008080"/>
            <w:vAlign w:val="center"/>
          </w:tcPr>
          <w:p w14:paraId="407E12E6" w14:textId="77777777" w:rsidR="00A52D81" w:rsidRPr="00B74333" w:rsidRDefault="00A52D81" w:rsidP="009C1A5D">
            <w:pPr>
              <w:jc w:val="center"/>
              <w:rPr>
                <w:rFonts w:eastAsia="Times New Roman" w:cstheme="minorHAnsi"/>
                <w:b/>
                <w:color w:val="FFFFFF"/>
                <w:lang w:val="en-US"/>
              </w:rPr>
            </w:pPr>
            <w:proofErr w:type="spellStart"/>
            <w:r w:rsidRPr="00B74333">
              <w:rPr>
                <w:rFonts w:eastAsia="Times New Roman" w:cstheme="minorHAnsi"/>
                <w:b/>
                <w:color w:val="FFFFFF"/>
              </w:rPr>
              <w:t>Cluster</w:t>
            </w:r>
            <w:proofErr w:type="spellEnd"/>
          </w:p>
        </w:tc>
        <w:tc>
          <w:tcPr>
            <w:tcW w:w="3800" w:type="dxa"/>
            <w:gridSpan w:val="5"/>
            <w:shd w:val="clear" w:color="auto" w:fill="008080"/>
            <w:vAlign w:val="center"/>
          </w:tcPr>
          <w:p w14:paraId="3FA7C5AA" w14:textId="77777777" w:rsidR="00A52D81" w:rsidRPr="00B74333" w:rsidRDefault="00A52D81" w:rsidP="009C1A5D">
            <w:pPr>
              <w:jc w:val="center"/>
              <w:rPr>
                <w:rFonts w:eastAsia="Times New Roman" w:cstheme="minorHAnsi"/>
                <w:b/>
                <w:color w:val="FFFFFF"/>
                <w:lang w:val="fr-FR"/>
              </w:rPr>
            </w:pPr>
            <w:r w:rsidRPr="00B74333">
              <w:rPr>
                <w:rFonts w:eastAsia="Times New Roman" w:cstheme="minorHAnsi"/>
                <w:b/>
                <w:color w:val="FFFFFF"/>
                <w:lang w:val="fr-FR"/>
              </w:rPr>
              <w:t xml:space="preserve">Cluster </w:t>
            </w:r>
            <w:proofErr w:type="spellStart"/>
            <w:r w:rsidRPr="00B74333">
              <w:rPr>
                <w:rFonts w:eastAsia="Times New Roman" w:cstheme="minorHAnsi"/>
                <w:b/>
                <w:color w:val="FFFFFF"/>
                <w:lang w:val="fr-FR"/>
              </w:rPr>
              <w:t>Constraint</w:t>
            </w:r>
            <w:proofErr w:type="spellEnd"/>
            <w:r w:rsidRPr="00B74333">
              <w:rPr>
                <w:rFonts w:eastAsia="Times New Roman" w:cstheme="minorHAnsi"/>
                <w:b/>
                <w:color w:val="FFFFFF"/>
                <w:lang w:val="fr-FR"/>
              </w:rPr>
              <w:t xml:space="preserve"> (GWh/d/y)</w:t>
            </w:r>
          </w:p>
        </w:tc>
        <w:tc>
          <w:tcPr>
            <w:tcW w:w="1912" w:type="dxa"/>
            <w:vMerge w:val="restart"/>
            <w:shd w:val="clear" w:color="auto" w:fill="008080"/>
            <w:vAlign w:val="center"/>
          </w:tcPr>
          <w:p w14:paraId="2256E8DF" w14:textId="77777777" w:rsidR="00A52D81" w:rsidRPr="00B74333" w:rsidRDefault="00A52D81" w:rsidP="009C1A5D">
            <w:pPr>
              <w:jc w:val="center"/>
              <w:rPr>
                <w:rFonts w:eastAsia="Times New Roman" w:cstheme="minorHAnsi"/>
                <w:b/>
                <w:color w:val="FFFFFF"/>
                <w:lang w:val="en-US"/>
              </w:rPr>
            </w:pPr>
            <w:proofErr w:type="spellStart"/>
            <w:r w:rsidRPr="00B74333">
              <w:rPr>
                <w:rFonts w:eastAsia="Times New Roman" w:cstheme="minorHAnsi"/>
                <w:b/>
                <w:color w:val="FFFFFF"/>
              </w:rPr>
              <w:t>Entry</w:t>
            </w:r>
            <w:proofErr w:type="spellEnd"/>
            <w:r w:rsidRPr="00B74333">
              <w:rPr>
                <w:rFonts w:eastAsia="Times New Roman" w:cstheme="minorHAnsi"/>
                <w:b/>
                <w:color w:val="FFFFFF"/>
              </w:rPr>
              <w:t xml:space="preserve"> / </w:t>
            </w:r>
            <w:proofErr w:type="spellStart"/>
            <w:r w:rsidRPr="00B74333">
              <w:rPr>
                <w:rFonts w:eastAsia="Times New Roman" w:cstheme="minorHAnsi"/>
                <w:b/>
                <w:color w:val="FFFFFF"/>
              </w:rPr>
              <w:t>Exit</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TSOs</w:t>
            </w:r>
            <w:proofErr w:type="spellEnd"/>
          </w:p>
        </w:tc>
      </w:tr>
      <w:tr w:rsidR="00A52D81" w:rsidRPr="00B74333" w14:paraId="553E50EF" w14:textId="77777777" w:rsidTr="00D22304">
        <w:trPr>
          <w:trHeight w:val="300"/>
        </w:trPr>
        <w:tc>
          <w:tcPr>
            <w:tcW w:w="1896" w:type="dxa"/>
            <w:vMerge/>
            <w:shd w:val="clear" w:color="auto" w:fill="008080"/>
            <w:vAlign w:val="center"/>
          </w:tcPr>
          <w:p w14:paraId="0BA791C6" w14:textId="77777777" w:rsidR="00A52D81" w:rsidRPr="00B74333" w:rsidRDefault="00A52D81" w:rsidP="009C1A5D">
            <w:pPr>
              <w:jc w:val="center"/>
              <w:rPr>
                <w:rFonts w:eastAsia="Times New Roman" w:cstheme="minorHAnsi"/>
                <w:b/>
                <w:color w:val="FFFFFF"/>
                <w:lang w:val="en-US"/>
              </w:rPr>
            </w:pPr>
          </w:p>
        </w:tc>
        <w:tc>
          <w:tcPr>
            <w:tcW w:w="1038" w:type="dxa"/>
            <w:vMerge/>
            <w:shd w:val="clear" w:color="auto" w:fill="008080"/>
            <w:vAlign w:val="center"/>
          </w:tcPr>
          <w:p w14:paraId="3690164C" w14:textId="77777777" w:rsidR="00A52D81" w:rsidRPr="00B74333" w:rsidRDefault="00A52D81" w:rsidP="009C1A5D">
            <w:pPr>
              <w:jc w:val="center"/>
              <w:rPr>
                <w:rFonts w:eastAsia="Times New Roman" w:cstheme="minorHAnsi"/>
                <w:color w:val="FFFFFF"/>
                <w:lang w:val="en-US"/>
              </w:rPr>
            </w:pPr>
          </w:p>
        </w:tc>
        <w:tc>
          <w:tcPr>
            <w:tcW w:w="1385" w:type="dxa"/>
            <w:gridSpan w:val="2"/>
            <w:tcBorders>
              <w:bottom w:val="single" w:sz="8" w:space="0" w:color="auto"/>
            </w:tcBorders>
            <w:shd w:val="clear" w:color="auto" w:fill="008080"/>
            <w:vAlign w:val="center"/>
          </w:tcPr>
          <w:p w14:paraId="50B43262" w14:textId="77777777" w:rsidR="00A52D81" w:rsidRPr="00B74333" w:rsidRDefault="00A52D81" w:rsidP="009C1A5D">
            <w:pPr>
              <w:jc w:val="center"/>
              <w:rPr>
                <w:rFonts w:eastAsia="Times New Roman" w:cstheme="minorHAnsi"/>
                <w:b/>
                <w:color w:val="FFFFFF"/>
                <w:lang w:val="en-US"/>
              </w:rPr>
            </w:pPr>
            <w:proofErr w:type="spellStart"/>
            <w:r w:rsidRPr="00B74333">
              <w:rPr>
                <w:rFonts w:eastAsia="Times New Roman" w:cstheme="minorHAnsi"/>
                <w:b/>
                <w:color w:val="FFFFFF"/>
              </w:rPr>
              <w:t>Limited</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Expansion</w:t>
            </w:r>
            <w:proofErr w:type="spellEnd"/>
          </w:p>
        </w:tc>
        <w:tc>
          <w:tcPr>
            <w:tcW w:w="1208" w:type="dxa"/>
            <w:gridSpan w:val="2"/>
            <w:tcBorders>
              <w:bottom w:val="single" w:sz="8" w:space="0" w:color="auto"/>
            </w:tcBorders>
            <w:shd w:val="clear" w:color="auto" w:fill="008080"/>
            <w:vAlign w:val="center"/>
          </w:tcPr>
          <w:p w14:paraId="2BFDAC19" w14:textId="77777777" w:rsidR="00A52D81" w:rsidRPr="00B74333" w:rsidRDefault="00A52D81" w:rsidP="009C1A5D">
            <w:pPr>
              <w:jc w:val="center"/>
              <w:rPr>
                <w:rFonts w:eastAsia="Times New Roman" w:cstheme="minorHAnsi"/>
                <w:b/>
                <w:color w:val="FFFFFF"/>
                <w:lang w:val="en-US"/>
              </w:rPr>
            </w:pPr>
            <w:proofErr w:type="spellStart"/>
            <w:r w:rsidRPr="00B74333">
              <w:rPr>
                <w:rFonts w:eastAsia="Times New Roman" w:cstheme="minorHAnsi"/>
                <w:b/>
                <w:color w:val="FFFFFF"/>
              </w:rPr>
              <w:t>Partial</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Expansion</w:t>
            </w:r>
            <w:proofErr w:type="spellEnd"/>
          </w:p>
        </w:tc>
        <w:tc>
          <w:tcPr>
            <w:tcW w:w="1207" w:type="dxa"/>
            <w:tcBorders>
              <w:bottom w:val="single" w:sz="8" w:space="0" w:color="auto"/>
            </w:tcBorders>
            <w:shd w:val="clear" w:color="auto" w:fill="008080"/>
            <w:vAlign w:val="center"/>
          </w:tcPr>
          <w:p w14:paraId="3DC01466" w14:textId="77777777" w:rsidR="00A52D81" w:rsidRPr="00B74333" w:rsidRDefault="00A52D81" w:rsidP="009C1A5D">
            <w:pPr>
              <w:jc w:val="center"/>
              <w:rPr>
                <w:rFonts w:eastAsia="Times New Roman" w:cstheme="minorHAnsi"/>
                <w:b/>
                <w:color w:val="FFFFFF"/>
                <w:lang w:val="en-US"/>
              </w:rPr>
            </w:pPr>
            <w:proofErr w:type="spellStart"/>
            <w:r w:rsidRPr="00B74333">
              <w:rPr>
                <w:rFonts w:eastAsia="Times New Roman" w:cstheme="minorHAnsi"/>
                <w:b/>
                <w:color w:val="FFFFFF"/>
              </w:rPr>
              <w:t>Full</w:t>
            </w:r>
            <w:proofErr w:type="spellEnd"/>
            <w:r w:rsidRPr="00B74333">
              <w:rPr>
                <w:rFonts w:eastAsia="Times New Roman" w:cstheme="minorHAnsi"/>
                <w:b/>
                <w:color w:val="FFFFFF"/>
              </w:rPr>
              <w:t xml:space="preserve"> </w:t>
            </w:r>
            <w:proofErr w:type="spellStart"/>
            <w:r w:rsidRPr="00B74333">
              <w:rPr>
                <w:rFonts w:eastAsia="Times New Roman" w:cstheme="minorHAnsi"/>
                <w:b/>
                <w:color w:val="FFFFFF"/>
              </w:rPr>
              <w:t>Expansion</w:t>
            </w:r>
            <w:proofErr w:type="spellEnd"/>
          </w:p>
        </w:tc>
        <w:tc>
          <w:tcPr>
            <w:tcW w:w="1912" w:type="dxa"/>
            <w:vMerge/>
            <w:shd w:val="clear" w:color="auto" w:fill="008080"/>
            <w:vAlign w:val="center"/>
          </w:tcPr>
          <w:p w14:paraId="0CDB5451" w14:textId="77777777" w:rsidR="00A52D81" w:rsidRPr="00B74333" w:rsidRDefault="00A52D81" w:rsidP="009C1A5D">
            <w:pPr>
              <w:jc w:val="center"/>
              <w:rPr>
                <w:rFonts w:eastAsia="Times New Roman" w:cstheme="minorHAnsi"/>
                <w:b/>
                <w:color w:val="FFFFFF"/>
                <w:lang w:val="en-US"/>
              </w:rPr>
            </w:pPr>
          </w:p>
        </w:tc>
      </w:tr>
      <w:tr w:rsidR="00A52D81" w:rsidRPr="00B74333" w14:paraId="09761496" w14:textId="77777777" w:rsidTr="00D22304">
        <w:trPr>
          <w:trHeight w:val="618"/>
        </w:trPr>
        <w:tc>
          <w:tcPr>
            <w:tcW w:w="1896" w:type="dxa"/>
            <w:tcBorders>
              <w:top w:val="single" w:sz="8" w:space="0" w:color="auto"/>
            </w:tcBorders>
            <w:vAlign w:val="center"/>
          </w:tcPr>
          <w:p w14:paraId="52B3D2CA" w14:textId="77777777" w:rsidR="00A52D81" w:rsidRPr="00B74333" w:rsidRDefault="00A52D81" w:rsidP="009C1A5D">
            <w:pPr>
              <w:jc w:val="center"/>
              <w:rPr>
                <w:rFonts w:eastAsia="Times New Roman" w:cstheme="minorHAnsi"/>
                <w:lang w:val="en-US"/>
              </w:rPr>
            </w:pPr>
            <w:r w:rsidRPr="00B74333">
              <w:rPr>
                <w:rFonts w:cstheme="minorHAnsi"/>
              </w:rPr>
              <w:t>Kulata/ Sidirokastro IP</w:t>
            </w:r>
          </w:p>
        </w:tc>
        <w:tc>
          <w:tcPr>
            <w:tcW w:w="1038" w:type="dxa"/>
            <w:vMerge w:val="restart"/>
            <w:tcBorders>
              <w:top w:val="single" w:sz="8" w:space="0" w:color="auto"/>
            </w:tcBorders>
            <w:vAlign w:val="center"/>
          </w:tcPr>
          <w:p w14:paraId="57AA73C9" w14:textId="77777777" w:rsidR="00A52D81" w:rsidRPr="00B74333" w:rsidRDefault="00A52D81" w:rsidP="009C1A5D">
            <w:pPr>
              <w:jc w:val="center"/>
              <w:rPr>
                <w:rFonts w:eastAsia="Times New Roman" w:cstheme="minorHAnsi"/>
                <w:lang w:val="en-US"/>
              </w:rPr>
            </w:pPr>
            <w:r w:rsidRPr="00B74333">
              <w:rPr>
                <w:rFonts w:eastAsia="Times New Roman" w:cstheme="minorHAnsi"/>
              </w:rPr>
              <w:t>1</w:t>
            </w:r>
          </w:p>
        </w:tc>
        <w:tc>
          <w:tcPr>
            <w:tcW w:w="1385" w:type="dxa"/>
            <w:gridSpan w:val="2"/>
            <w:vMerge w:val="restart"/>
            <w:tcBorders>
              <w:top w:val="single" w:sz="8" w:space="0" w:color="auto"/>
            </w:tcBorders>
            <w:vAlign w:val="center"/>
          </w:tcPr>
          <w:p w14:paraId="4128CF25" w14:textId="77777777" w:rsidR="00A52D81" w:rsidRPr="00B74333" w:rsidRDefault="00A52D81" w:rsidP="009C1A5D">
            <w:pPr>
              <w:jc w:val="center"/>
              <w:rPr>
                <w:rFonts w:cstheme="minorHAnsi"/>
                <w:color w:val="000000"/>
                <w:lang w:val="en-US"/>
              </w:rPr>
            </w:pPr>
            <w:r w:rsidRPr="00B74333">
              <w:rPr>
                <w:rFonts w:cstheme="minorHAnsi"/>
              </w:rPr>
              <w:t>55</w:t>
            </w:r>
          </w:p>
        </w:tc>
        <w:tc>
          <w:tcPr>
            <w:tcW w:w="1208" w:type="dxa"/>
            <w:gridSpan w:val="2"/>
            <w:vMerge w:val="restart"/>
            <w:tcBorders>
              <w:top w:val="single" w:sz="8" w:space="0" w:color="auto"/>
            </w:tcBorders>
            <w:vAlign w:val="center"/>
          </w:tcPr>
          <w:p w14:paraId="559F9236" w14:textId="77777777" w:rsidR="00A52D81" w:rsidRPr="00B74333" w:rsidRDefault="00A52D81" w:rsidP="009C1A5D">
            <w:pPr>
              <w:jc w:val="center"/>
              <w:rPr>
                <w:rFonts w:cstheme="minorHAnsi"/>
                <w:color w:val="000000"/>
                <w:lang w:val="en-US"/>
              </w:rPr>
            </w:pPr>
            <w:r w:rsidRPr="00B74333">
              <w:rPr>
                <w:rFonts w:cstheme="minorHAnsi"/>
              </w:rPr>
              <w:t>94</w:t>
            </w:r>
          </w:p>
        </w:tc>
        <w:tc>
          <w:tcPr>
            <w:tcW w:w="1207" w:type="dxa"/>
            <w:vMerge w:val="restart"/>
            <w:tcBorders>
              <w:top w:val="single" w:sz="8" w:space="0" w:color="auto"/>
            </w:tcBorders>
            <w:vAlign w:val="center"/>
          </w:tcPr>
          <w:p w14:paraId="65B8FE4D" w14:textId="77777777" w:rsidR="00A52D81" w:rsidRPr="00B74333" w:rsidRDefault="00A52D81" w:rsidP="009C1A5D">
            <w:pPr>
              <w:jc w:val="center"/>
              <w:rPr>
                <w:rFonts w:cstheme="minorHAnsi"/>
                <w:color w:val="000000"/>
                <w:lang w:val="en-US"/>
              </w:rPr>
            </w:pPr>
            <w:r w:rsidRPr="00B74333">
              <w:rPr>
                <w:rFonts w:cstheme="minorHAnsi"/>
              </w:rPr>
              <w:t>151</w:t>
            </w:r>
          </w:p>
        </w:tc>
        <w:tc>
          <w:tcPr>
            <w:tcW w:w="1912" w:type="dxa"/>
            <w:tcBorders>
              <w:top w:val="single" w:sz="8" w:space="0" w:color="auto"/>
            </w:tcBorders>
            <w:vAlign w:val="center"/>
          </w:tcPr>
          <w:p w14:paraId="0500C444"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DESFA / </w:t>
            </w:r>
            <w:proofErr w:type="spellStart"/>
            <w:r w:rsidRPr="00B74333">
              <w:rPr>
                <w:rFonts w:eastAsia="Times New Roman" w:cstheme="minorHAnsi"/>
              </w:rPr>
              <w:t>Entry</w:t>
            </w:r>
            <w:proofErr w:type="spellEnd"/>
            <w:r w:rsidRPr="00B74333">
              <w:rPr>
                <w:rFonts w:eastAsia="Times New Roman" w:cstheme="minorHAnsi"/>
              </w:rPr>
              <w:t xml:space="preserve"> BULGARTRANSGAS</w:t>
            </w:r>
          </w:p>
        </w:tc>
      </w:tr>
      <w:tr w:rsidR="00A52D81" w:rsidRPr="00B74333" w14:paraId="7425EEDE" w14:textId="77777777" w:rsidTr="00D22304">
        <w:trPr>
          <w:trHeight w:val="618"/>
        </w:trPr>
        <w:tc>
          <w:tcPr>
            <w:tcW w:w="1896" w:type="dxa"/>
            <w:vAlign w:val="center"/>
          </w:tcPr>
          <w:p w14:paraId="12007498" w14:textId="77777777" w:rsidR="00A52D81" w:rsidRPr="00B74333" w:rsidRDefault="00A52D81" w:rsidP="009C1A5D">
            <w:pPr>
              <w:jc w:val="center"/>
              <w:rPr>
                <w:rFonts w:eastAsia="Times New Roman" w:cstheme="minorHAnsi"/>
                <w:lang w:val="en-US"/>
              </w:rPr>
            </w:pPr>
            <w:r w:rsidRPr="00B74333">
              <w:rPr>
                <w:rFonts w:cstheme="minorHAnsi"/>
              </w:rPr>
              <w:t>Komotini IP</w:t>
            </w:r>
          </w:p>
        </w:tc>
        <w:tc>
          <w:tcPr>
            <w:tcW w:w="1038" w:type="dxa"/>
            <w:vMerge/>
            <w:vAlign w:val="center"/>
          </w:tcPr>
          <w:p w14:paraId="3685A43D" w14:textId="77777777" w:rsidR="00A52D81" w:rsidRPr="00B74333" w:rsidRDefault="00A52D81" w:rsidP="009C1A5D">
            <w:pPr>
              <w:jc w:val="center"/>
              <w:rPr>
                <w:rFonts w:eastAsia="Times New Roman" w:cstheme="minorHAnsi"/>
                <w:lang w:val="en-US"/>
              </w:rPr>
            </w:pPr>
          </w:p>
        </w:tc>
        <w:tc>
          <w:tcPr>
            <w:tcW w:w="1385" w:type="dxa"/>
            <w:gridSpan w:val="2"/>
            <w:vMerge/>
            <w:vAlign w:val="center"/>
          </w:tcPr>
          <w:p w14:paraId="3FFA9AC4"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0C102C8B" w14:textId="77777777" w:rsidR="00A52D81" w:rsidRPr="00B74333" w:rsidRDefault="00A52D81" w:rsidP="009C1A5D">
            <w:pPr>
              <w:jc w:val="center"/>
              <w:rPr>
                <w:rFonts w:eastAsia="Times New Roman" w:cstheme="minorHAnsi"/>
                <w:lang w:val="en-US"/>
              </w:rPr>
            </w:pPr>
          </w:p>
        </w:tc>
        <w:tc>
          <w:tcPr>
            <w:tcW w:w="1207" w:type="dxa"/>
            <w:vMerge/>
            <w:vAlign w:val="center"/>
          </w:tcPr>
          <w:p w14:paraId="63899414" w14:textId="77777777" w:rsidR="00A52D81" w:rsidRPr="00B74333" w:rsidRDefault="00A52D81" w:rsidP="009C1A5D">
            <w:pPr>
              <w:jc w:val="center"/>
              <w:rPr>
                <w:rFonts w:eastAsia="Times New Roman" w:cstheme="minorHAnsi"/>
                <w:lang w:val="en-US"/>
              </w:rPr>
            </w:pPr>
          </w:p>
        </w:tc>
        <w:tc>
          <w:tcPr>
            <w:tcW w:w="1912" w:type="dxa"/>
            <w:vAlign w:val="center"/>
          </w:tcPr>
          <w:p w14:paraId="3002BD53"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DESFA / </w:t>
            </w:r>
            <w:proofErr w:type="spellStart"/>
            <w:r w:rsidRPr="00B74333">
              <w:rPr>
                <w:rFonts w:eastAsia="Times New Roman" w:cstheme="minorHAnsi"/>
              </w:rPr>
              <w:t>Entry</w:t>
            </w:r>
            <w:proofErr w:type="spellEnd"/>
            <w:r w:rsidRPr="00B74333">
              <w:rPr>
                <w:rFonts w:eastAsia="Times New Roman" w:cstheme="minorHAnsi"/>
              </w:rPr>
              <w:t xml:space="preserve"> ICGB</w:t>
            </w:r>
          </w:p>
        </w:tc>
      </w:tr>
      <w:tr w:rsidR="00A52D81" w:rsidRPr="00B74333" w14:paraId="72B271BE" w14:textId="77777777" w:rsidTr="00D22304">
        <w:trPr>
          <w:trHeight w:val="618"/>
        </w:trPr>
        <w:tc>
          <w:tcPr>
            <w:tcW w:w="1896" w:type="dxa"/>
            <w:vAlign w:val="center"/>
          </w:tcPr>
          <w:p w14:paraId="6E49B30E" w14:textId="77777777" w:rsidR="00A52D81" w:rsidRPr="00B74333" w:rsidRDefault="00A52D81" w:rsidP="009C1A5D">
            <w:pPr>
              <w:jc w:val="center"/>
              <w:rPr>
                <w:rFonts w:eastAsia="Times New Roman" w:cstheme="minorHAnsi"/>
                <w:lang w:val="en-US"/>
              </w:rPr>
            </w:pPr>
            <w:proofErr w:type="spellStart"/>
            <w:r w:rsidRPr="00B74333">
              <w:rPr>
                <w:rFonts w:cstheme="minorHAnsi"/>
              </w:rPr>
              <w:t>Nea</w:t>
            </w:r>
            <w:proofErr w:type="spellEnd"/>
            <w:r w:rsidRPr="00B74333">
              <w:rPr>
                <w:rFonts w:cstheme="minorHAnsi"/>
              </w:rPr>
              <w:t xml:space="preserve"> Messimvria IP</w:t>
            </w:r>
          </w:p>
        </w:tc>
        <w:tc>
          <w:tcPr>
            <w:tcW w:w="1038" w:type="dxa"/>
            <w:vMerge/>
            <w:vAlign w:val="center"/>
          </w:tcPr>
          <w:p w14:paraId="1C671C65" w14:textId="77777777" w:rsidR="00A52D81" w:rsidRPr="00B74333" w:rsidRDefault="00A52D81" w:rsidP="009C1A5D">
            <w:pPr>
              <w:jc w:val="center"/>
              <w:rPr>
                <w:rFonts w:cstheme="minorHAnsi"/>
                <w:lang w:val="en-US"/>
              </w:rPr>
            </w:pPr>
          </w:p>
        </w:tc>
        <w:tc>
          <w:tcPr>
            <w:tcW w:w="1385" w:type="dxa"/>
            <w:gridSpan w:val="2"/>
            <w:vMerge/>
            <w:vAlign w:val="center"/>
          </w:tcPr>
          <w:p w14:paraId="3AB90F5B"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688EE688" w14:textId="77777777" w:rsidR="00A52D81" w:rsidRPr="00B74333" w:rsidRDefault="00A52D81" w:rsidP="009C1A5D">
            <w:pPr>
              <w:jc w:val="center"/>
              <w:rPr>
                <w:rFonts w:eastAsia="Times New Roman" w:cstheme="minorHAnsi"/>
                <w:lang w:val="en-US"/>
              </w:rPr>
            </w:pPr>
          </w:p>
        </w:tc>
        <w:tc>
          <w:tcPr>
            <w:tcW w:w="1207" w:type="dxa"/>
            <w:vMerge/>
            <w:vAlign w:val="center"/>
          </w:tcPr>
          <w:p w14:paraId="4D2ECC64" w14:textId="77777777" w:rsidR="00A52D81" w:rsidRPr="00B74333" w:rsidRDefault="00A52D81" w:rsidP="009C1A5D">
            <w:pPr>
              <w:jc w:val="center"/>
              <w:rPr>
                <w:rFonts w:eastAsia="Times New Roman" w:cstheme="minorHAnsi"/>
                <w:lang w:val="en-US"/>
              </w:rPr>
            </w:pPr>
          </w:p>
        </w:tc>
        <w:tc>
          <w:tcPr>
            <w:tcW w:w="1912" w:type="dxa"/>
            <w:vAlign w:val="center"/>
          </w:tcPr>
          <w:p w14:paraId="17640221"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DESFA / </w:t>
            </w:r>
            <w:proofErr w:type="spellStart"/>
            <w:r w:rsidRPr="00B74333">
              <w:rPr>
                <w:rFonts w:eastAsia="Times New Roman" w:cstheme="minorHAnsi"/>
              </w:rPr>
              <w:t>Entry</w:t>
            </w:r>
            <w:proofErr w:type="spellEnd"/>
            <w:r w:rsidRPr="00B74333">
              <w:rPr>
                <w:rFonts w:eastAsia="Times New Roman" w:cstheme="minorHAnsi"/>
              </w:rPr>
              <w:t xml:space="preserve"> TAP</w:t>
            </w:r>
          </w:p>
        </w:tc>
      </w:tr>
      <w:tr w:rsidR="00A52D81" w:rsidRPr="00B74333" w14:paraId="34451238" w14:textId="77777777" w:rsidTr="00D22304">
        <w:trPr>
          <w:trHeight w:val="618"/>
        </w:trPr>
        <w:tc>
          <w:tcPr>
            <w:tcW w:w="1896" w:type="dxa"/>
            <w:vAlign w:val="center"/>
          </w:tcPr>
          <w:p w14:paraId="42C28A59" w14:textId="7EBD9926" w:rsidR="00A52D81" w:rsidRPr="00B74333" w:rsidRDefault="00A52D81" w:rsidP="009C1A5D">
            <w:pPr>
              <w:jc w:val="center"/>
              <w:rPr>
                <w:rFonts w:eastAsia="Times New Roman" w:cstheme="minorHAnsi"/>
                <w:lang w:val="en-US"/>
              </w:rPr>
            </w:pPr>
            <w:r w:rsidRPr="00B74333">
              <w:rPr>
                <w:rFonts w:cstheme="minorHAnsi"/>
                <w:lang w:val="en-US"/>
              </w:rPr>
              <w:t xml:space="preserve">New </w:t>
            </w:r>
            <w:r w:rsidR="004A60D9" w:rsidRPr="00B74333">
              <w:rPr>
                <w:rFonts w:cstheme="minorHAnsi"/>
                <w:lang w:val="en-US"/>
              </w:rPr>
              <w:t xml:space="preserve">entry point </w:t>
            </w:r>
            <w:r w:rsidRPr="00B74333">
              <w:rPr>
                <w:rFonts w:cstheme="minorHAnsi"/>
                <w:lang w:val="en-US"/>
              </w:rPr>
              <w:t>– ELPEDISON FSRU</w:t>
            </w:r>
          </w:p>
        </w:tc>
        <w:tc>
          <w:tcPr>
            <w:tcW w:w="1038" w:type="dxa"/>
            <w:vMerge w:val="restart"/>
            <w:vAlign w:val="center"/>
          </w:tcPr>
          <w:p w14:paraId="3C4249C8" w14:textId="77777777" w:rsidR="00A52D81" w:rsidRPr="00B74333" w:rsidRDefault="00A52D81" w:rsidP="009C1A5D">
            <w:pPr>
              <w:jc w:val="center"/>
              <w:rPr>
                <w:rFonts w:cstheme="minorHAnsi"/>
                <w:lang w:val="en-US"/>
              </w:rPr>
            </w:pPr>
            <w:r w:rsidRPr="00B74333">
              <w:rPr>
                <w:rFonts w:cstheme="minorHAnsi"/>
              </w:rPr>
              <w:t>2</w:t>
            </w:r>
          </w:p>
        </w:tc>
        <w:tc>
          <w:tcPr>
            <w:tcW w:w="1385" w:type="dxa"/>
            <w:gridSpan w:val="2"/>
            <w:vMerge w:val="restart"/>
            <w:vAlign w:val="center"/>
          </w:tcPr>
          <w:p w14:paraId="56154224" w14:textId="77777777" w:rsidR="00A52D81" w:rsidRPr="00B74333" w:rsidRDefault="00A52D81" w:rsidP="009C1A5D">
            <w:pPr>
              <w:jc w:val="center"/>
              <w:rPr>
                <w:rFonts w:cstheme="minorHAnsi"/>
                <w:color w:val="000000"/>
                <w:lang w:val="en-US"/>
              </w:rPr>
            </w:pPr>
            <w:r w:rsidRPr="00B74333">
              <w:rPr>
                <w:rFonts w:cstheme="minorHAnsi"/>
              </w:rPr>
              <w:t>51</w:t>
            </w:r>
          </w:p>
        </w:tc>
        <w:tc>
          <w:tcPr>
            <w:tcW w:w="1208" w:type="dxa"/>
            <w:gridSpan w:val="2"/>
            <w:vMerge w:val="restart"/>
            <w:vAlign w:val="center"/>
          </w:tcPr>
          <w:p w14:paraId="089739AC" w14:textId="77777777" w:rsidR="00A52D81" w:rsidRPr="00B74333" w:rsidRDefault="00A52D81" w:rsidP="009C1A5D">
            <w:pPr>
              <w:jc w:val="center"/>
              <w:rPr>
                <w:rFonts w:cstheme="minorHAnsi"/>
                <w:color w:val="000000"/>
                <w:lang w:val="en-US"/>
              </w:rPr>
            </w:pPr>
            <w:r w:rsidRPr="00B74333">
              <w:rPr>
                <w:rFonts w:cstheme="minorHAnsi"/>
              </w:rPr>
              <w:t>86</w:t>
            </w:r>
          </w:p>
        </w:tc>
        <w:tc>
          <w:tcPr>
            <w:tcW w:w="1207" w:type="dxa"/>
            <w:vMerge w:val="restart"/>
            <w:vAlign w:val="center"/>
          </w:tcPr>
          <w:p w14:paraId="2C8C1FC0" w14:textId="77777777" w:rsidR="00A52D81" w:rsidRPr="00B74333" w:rsidRDefault="00A52D81" w:rsidP="009C1A5D">
            <w:pPr>
              <w:jc w:val="center"/>
              <w:rPr>
                <w:rFonts w:cstheme="minorHAnsi"/>
                <w:color w:val="000000"/>
                <w:lang w:val="en-US"/>
              </w:rPr>
            </w:pPr>
            <w:r w:rsidRPr="00B74333">
              <w:rPr>
                <w:rFonts w:cstheme="minorHAnsi"/>
              </w:rPr>
              <w:t>174,4</w:t>
            </w:r>
          </w:p>
        </w:tc>
        <w:tc>
          <w:tcPr>
            <w:tcW w:w="1912" w:type="dxa"/>
            <w:vAlign w:val="center"/>
          </w:tcPr>
          <w:p w14:paraId="16AADF4C"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2D81" w:rsidRPr="00B74333" w14:paraId="3E3A2E49" w14:textId="77777777" w:rsidTr="00D22304">
        <w:trPr>
          <w:trHeight w:val="618"/>
        </w:trPr>
        <w:tc>
          <w:tcPr>
            <w:tcW w:w="1896" w:type="dxa"/>
            <w:vAlign w:val="center"/>
          </w:tcPr>
          <w:p w14:paraId="58D8BD3E" w14:textId="2F6144BC" w:rsidR="00A52D81" w:rsidRPr="00B74333" w:rsidRDefault="00A52D81" w:rsidP="009C1A5D">
            <w:pPr>
              <w:jc w:val="center"/>
              <w:rPr>
                <w:rFonts w:eastAsia="Times New Roman" w:cstheme="minorHAnsi"/>
                <w:lang w:val="en-US"/>
              </w:rPr>
            </w:pPr>
            <w:r w:rsidRPr="00B74333">
              <w:rPr>
                <w:rFonts w:cstheme="minorHAnsi"/>
                <w:lang w:val="en-US"/>
              </w:rPr>
              <w:t xml:space="preserve">New </w:t>
            </w:r>
            <w:r w:rsidR="004A60D9" w:rsidRPr="00B74333">
              <w:rPr>
                <w:rFonts w:cstheme="minorHAnsi"/>
                <w:lang w:val="en-US"/>
              </w:rPr>
              <w:t xml:space="preserve">entry point </w:t>
            </w:r>
            <w:r w:rsidRPr="00B74333">
              <w:rPr>
                <w:rFonts w:cstheme="minorHAnsi"/>
                <w:lang w:val="en-US"/>
              </w:rPr>
              <w:t>– ARGO FSRU</w:t>
            </w:r>
          </w:p>
        </w:tc>
        <w:tc>
          <w:tcPr>
            <w:tcW w:w="1038" w:type="dxa"/>
            <w:vMerge/>
            <w:vAlign w:val="center"/>
          </w:tcPr>
          <w:p w14:paraId="0DE0D7A2" w14:textId="77777777" w:rsidR="00A52D81" w:rsidRPr="00B74333" w:rsidRDefault="00A52D81" w:rsidP="009C1A5D">
            <w:pPr>
              <w:jc w:val="center"/>
              <w:rPr>
                <w:rFonts w:cstheme="minorHAnsi"/>
                <w:lang w:val="en-US"/>
              </w:rPr>
            </w:pPr>
          </w:p>
        </w:tc>
        <w:tc>
          <w:tcPr>
            <w:tcW w:w="1385" w:type="dxa"/>
            <w:gridSpan w:val="2"/>
            <w:vMerge/>
            <w:vAlign w:val="center"/>
          </w:tcPr>
          <w:p w14:paraId="05BD08BE"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40051EEA" w14:textId="77777777" w:rsidR="00A52D81" w:rsidRPr="00B74333" w:rsidRDefault="00A52D81" w:rsidP="009C1A5D">
            <w:pPr>
              <w:jc w:val="center"/>
              <w:rPr>
                <w:rFonts w:eastAsia="Times New Roman" w:cstheme="minorHAnsi"/>
                <w:lang w:val="en-US"/>
              </w:rPr>
            </w:pPr>
          </w:p>
        </w:tc>
        <w:tc>
          <w:tcPr>
            <w:tcW w:w="1207" w:type="dxa"/>
            <w:vMerge/>
            <w:vAlign w:val="center"/>
          </w:tcPr>
          <w:p w14:paraId="1F7FD233" w14:textId="77777777" w:rsidR="00A52D81" w:rsidRPr="00B74333" w:rsidRDefault="00A52D81" w:rsidP="009C1A5D">
            <w:pPr>
              <w:jc w:val="center"/>
              <w:rPr>
                <w:rFonts w:eastAsia="Times New Roman" w:cstheme="minorHAnsi"/>
                <w:lang w:val="en-US"/>
              </w:rPr>
            </w:pPr>
          </w:p>
        </w:tc>
        <w:tc>
          <w:tcPr>
            <w:tcW w:w="1912" w:type="dxa"/>
            <w:vAlign w:val="center"/>
          </w:tcPr>
          <w:p w14:paraId="05AFA42E"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2D81" w:rsidRPr="00B74333" w14:paraId="660F8730" w14:textId="77777777" w:rsidTr="00D22304">
        <w:trPr>
          <w:trHeight w:val="618"/>
        </w:trPr>
        <w:tc>
          <w:tcPr>
            <w:tcW w:w="1896" w:type="dxa"/>
            <w:vAlign w:val="center"/>
          </w:tcPr>
          <w:p w14:paraId="590E7B7D" w14:textId="77777777" w:rsidR="00A52D81" w:rsidRPr="00B74333" w:rsidRDefault="00A52D81" w:rsidP="009C1A5D">
            <w:pPr>
              <w:jc w:val="center"/>
              <w:rPr>
                <w:rFonts w:eastAsia="Times New Roman" w:cstheme="minorHAnsi"/>
                <w:lang w:val="en-US"/>
              </w:rPr>
            </w:pPr>
            <w:proofErr w:type="spellStart"/>
            <w:r w:rsidRPr="00B74333">
              <w:rPr>
                <w:rFonts w:cstheme="minorHAnsi"/>
              </w:rPr>
              <w:lastRenderedPageBreak/>
              <w:t>Nea</w:t>
            </w:r>
            <w:proofErr w:type="spellEnd"/>
            <w:r w:rsidRPr="00B74333">
              <w:rPr>
                <w:rFonts w:cstheme="minorHAnsi"/>
              </w:rPr>
              <w:t xml:space="preserve"> Messimvria IP</w:t>
            </w:r>
          </w:p>
        </w:tc>
        <w:tc>
          <w:tcPr>
            <w:tcW w:w="1038" w:type="dxa"/>
            <w:vMerge/>
            <w:vAlign w:val="center"/>
          </w:tcPr>
          <w:p w14:paraId="1BA44381" w14:textId="77777777" w:rsidR="00A52D81" w:rsidRPr="00B74333" w:rsidRDefault="00A52D81" w:rsidP="009C1A5D">
            <w:pPr>
              <w:jc w:val="center"/>
              <w:rPr>
                <w:rFonts w:cstheme="minorHAnsi"/>
                <w:lang w:val="en-US"/>
              </w:rPr>
            </w:pPr>
          </w:p>
        </w:tc>
        <w:tc>
          <w:tcPr>
            <w:tcW w:w="1385" w:type="dxa"/>
            <w:gridSpan w:val="2"/>
            <w:vMerge/>
            <w:vAlign w:val="center"/>
          </w:tcPr>
          <w:p w14:paraId="07BE5E38"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2D314038" w14:textId="77777777" w:rsidR="00A52D81" w:rsidRPr="00B74333" w:rsidRDefault="00A52D81" w:rsidP="009C1A5D">
            <w:pPr>
              <w:jc w:val="center"/>
              <w:rPr>
                <w:rFonts w:eastAsia="Times New Roman" w:cstheme="minorHAnsi"/>
                <w:lang w:val="en-US"/>
              </w:rPr>
            </w:pPr>
          </w:p>
        </w:tc>
        <w:tc>
          <w:tcPr>
            <w:tcW w:w="1207" w:type="dxa"/>
            <w:vMerge/>
            <w:vAlign w:val="center"/>
          </w:tcPr>
          <w:p w14:paraId="55796ED2" w14:textId="77777777" w:rsidR="00A52D81" w:rsidRPr="00B74333" w:rsidRDefault="00A52D81" w:rsidP="009C1A5D">
            <w:pPr>
              <w:jc w:val="center"/>
              <w:rPr>
                <w:rFonts w:eastAsia="Times New Roman" w:cstheme="minorHAnsi"/>
                <w:lang w:val="en-US"/>
              </w:rPr>
            </w:pPr>
          </w:p>
        </w:tc>
        <w:tc>
          <w:tcPr>
            <w:tcW w:w="1912" w:type="dxa"/>
            <w:vAlign w:val="center"/>
          </w:tcPr>
          <w:p w14:paraId="2E9D5D42"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Exit</w:t>
            </w:r>
            <w:proofErr w:type="spellEnd"/>
            <w:r w:rsidRPr="00B74333">
              <w:rPr>
                <w:rFonts w:eastAsia="Times New Roman" w:cstheme="minorHAnsi"/>
              </w:rPr>
              <w:t xml:space="preserve"> TAP / </w:t>
            </w: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2D81" w:rsidRPr="00B74333" w14:paraId="466D9EAF" w14:textId="77777777" w:rsidTr="00D22304">
        <w:trPr>
          <w:trHeight w:val="618"/>
        </w:trPr>
        <w:tc>
          <w:tcPr>
            <w:tcW w:w="1896" w:type="dxa"/>
            <w:vAlign w:val="center"/>
          </w:tcPr>
          <w:p w14:paraId="7CC230F3" w14:textId="77777777" w:rsidR="00A52D81" w:rsidRPr="00B74333" w:rsidRDefault="00A52D81" w:rsidP="009C1A5D">
            <w:pPr>
              <w:jc w:val="center"/>
              <w:rPr>
                <w:rFonts w:eastAsia="Times New Roman" w:cstheme="minorHAnsi"/>
                <w:lang w:val="en-US"/>
              </w:rPr>
            </w:pPr>
            <w:r w:rsidRPr="00B74333">
              <w:rPr>
                <w:rFonts w:cstheme="minorHAnsi"/>
              </w:rPr>
              <w:t>Amfitriti</w:t>
            </w:r>
          </w:p>
        </w:tc>
        <w:tc>
          <w:tcPr>
            <w:tcW w:w="1038" w:type="dxa"/>
            <w:vMerge/>
            <w:vAlign w:val="center"/>
          </w:tcPr>
          <w:p w14:paraId="40DCC56D" w14:textId="77777777" w:rsidR="00A52D81" w:rsidRPr="00B74333" w:rsidRDefault="00A52D81" w:rsidP="009C1A5D">
            <w:pPr>
              <w:jc w:val="center"/>
              <w:rPr>
                <w:rFonts w:cstheme="minorHAnsi"/>
                <w:lang w:val="en-US"/>
              </w:rPr>
            </w:pPr>
          </w:p>
        </w:tc>
        <w:tc>
          <w:tcPr>
            <w:tcW w:w="1385" w:type="dxa"/>
            <w:gridSpan w:val="2"/>
            <w:vMerge/>
            <w:vAlign w:val="center"/>
          </w:tcPr>
          <w:p w14:paraId="708EB6D8"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2E096AEA" w14:textId="77777777" w:rsidR="00A52D81" w:rsidRPr="00B74333" w:rsidRDefault="00A52D81" w:rsidP="009C1A5D">
            <w:pPr>
              <w:jc w:val="center"/>
              <w:rPr>
                <w:rFonts w:eastAsia="Times New Roman" w:cstheme="minorHAnsi"/>
                <w:lang w:val="en-US"/>
              </w:rPr>
            </w:pPr>
          </w:p>
        </w:tc>
        <w:tc>
          <w:tcPr>
            <w:tcW w:w="1207" w:type="dxa"/>
            <w:vMerge/>
            <w:vAlign w:val="center"/>
          </w:tcPr>
          <w:p w14:paraId="3A5762F5" w14:textId="77777777" w:rsidR="00A52D81" w:rsidRPr="00B74333" w:rsidRDefault="00A52D81" w:rsidP="009C1A5D">
            <w:pPr>
              <w:jc w:val="center"/>
              <w:rPr>
                <w:rFonts w:eastAsia="Times New Roman" w:cstheme="minorHAnsi"/>
                <w:lang w:val="en-US"/>
              </w:rPr>
            </w:pPr>
          </w:p>
        </w:tc>
        <w:tc>
          <w:tcPr>
            <w:tcW w:w="1912" w:type="dxa"/>
            <w:vAlign w:val="center"/>
          </w:tcPr>
          <w:p w14:paraId="457C2393"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2D81" w:rsidRPr="00B74333" w14:paraId="3DCDBB40" w14:textId="77777777" w:rsidTr="00D22304">
        <w:trPr>
          <w:trHeight w:val="618"/>
        </w:trPr>
        <w:tc>
          <w:tcPr>
            <w:tcW w:w="1896" w:type="dxa"/>
            <w:vAlign w:val="center"/>
          </w:tcPr>
          <w:p w14:paraId="766D8912" w14:textId="77777777" w:rsidR="00A52D81" w:rsidRPr="00B74333" w:rsidRDefault="00A52D81" w:rsidP="009C1A5D">
            <w:pPr>
              <w:jc w:val="center"/>
              <w:rPr>
                <w:rFonts w:eastAsia="Times New Roman" w:cstheme="minorHAnsi"/>
                <w:lang w:val="en-US"/>
              </w:rPr>
            </w:pPr>
            <w:proofErr w:type="spellStart"/>
            <w:r w:rsidRPr="00B74333">
              <w:rPr>
                <w:rFonts w:cstheme="minorHAnsi"/>
              </w:rPr>
              <w:t>Kipi</w:t>
            </w:r>
            <w:proofErr w:type="spellEnd"/>
            <w:r w:rsidRPr="00B74333">
              <w:rPr>
                <w:rFonts w:cstheme="minorHAnsi"/>
              </w:rPr>
              <w:t xml:space="preserve"> IP</w:t>
            </w:r>
          </w:p>
        </w:tc>
        <w:tc>
          <w:tcPr>
            <w:tcW w:w="1038" w:type="dxa"/>
            <w:vMerge/>
            <w:vAlign w:val="center"/>
          </w:tcPr>
          <w:p w14:paraId="63306E26" w14:textId="77777777" w:rsidR="00A52D81" w:rsidRPr="00B74333" w:rsidRDefault="00A52D81" w:rsidP="009C1A5D">
            <w:pPr>
              <w:jc w:val="center"/>
              <w:rPr>
                <w:rFonts w:cstheme="minorHAnsi"/>
                <w:lang w:val="en-US"/>
              </w:rPr>
            </w:pPr>
          </w:p>
        </w:tc>
        <w:tc>
          <w:tcPr>
            <w:tcW w:w="1385" w:type="dxa"/>
            <w:gridSpan w:val="2"/>
            <w:vMerge/>
            <w:vAlign w:val="center"/>
          </w:tcPr>
          <w:p w14:paraId="53FE9653"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68D9C4EB" w14:textId="77777777" w:rsidR="00A52D81" w:rsidRPr="00B74333" w:rsidRDefault="00A52D81" w:rsidP="009C1A5D">
            <w:pPr>
              <w:jc w:val="center"/>
              <w:rPr>
                <w:rFonts w:eastAsia="Times New Roman" w:cstheme="minorHAnsi"/>
                <w:lang w:val="en-US"/>
              </w:rPr>
            </w:pPr>
          </w:p>
        </w:tc>
        <w:tc>
          <w:tcPr>
            <w:tcW w:w="1207" w:type="dxa"/>
            <w:vMerge/>
            <w:vAlign w:val="center"/>
          </w:tcPr>
          <w:p w14:paraId="05645240" w14:textId="77777777" w:rsidR="00A52D81" w:rsidRPr="00B74333" w:rsidRDefault="00A52D81" w:rsidP="009C1A5D">
            <w:pPr>
              <w:jc w:val="center"/>
              <w:rPr>
                <w:rFonts w:eastAsia="Times New Roman" w:cstheme="minorHAnsi"/>
                <w:lang w:val="en-US"/>
              </w:rPr>
            </w:pPr>
          </w:p>
        </w:tc>
        <w:tc>
          <w:tcPr>
            <w:tcW w:w="1912" w:type="dxa"/>
            <w:vAlign w:val="center"/>
          </w:tcPr>
          <w:p w14:paraId="74B423C9"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2D81" w:rsidRPr="00B74333" w14:paraId="1B77EAEC" w14:textId="77777777" w:rsidTr="00D22304">
        <w:trPr>
          <w:trHeight w:val="618"/>
        </w:trPr>
        <w:tc>
          <w:tcPr>
            <w:tcW w:w="1896" w:type="dxa"/>
            <w:vAlign w:val="center"/>
          </w:tcPr>
          <w:p w14:paraId="18954904" w14:textId="1E0AB98B" w:rsidR="00A52D81" w:rsidRPr="00B74333" w:rsidRDefault="00A52D81" w:rsidP="009C1A5D">
            <w:pPr>
              <w:jc w:val="center"/>
              <w:rPr>
                <w:rFonts w:eastAsia="Times New Roman" w:cstheme="minorHAnsi"/>
                <w:lang w:val="en-US"/>
              </w:rPr>
            </w:pPr>
            <w:r w:rsidRPr="00B74333">
              <w:rPr>
                <w:rFonts w:cstheme="minorHAnsi"/>
                <w:lang w:val="en-US"/>
              </w:rPr>
              <w:t xml:space="preserve">New </w:t>
            </w:r>
            <w:r w:rsidR="004A60D9" w:rsidRPr="00B74333">
              <w:rPr>
                <w:rFonts w:cstheme="minorHAnsi"/>
                <w:lang w:val="en-US"/>
              </w:rPr>
              <w:t xml:space="preserve">entry point </w:t>
            </w:r>
            <w:r w:rsidRPr="00B74333">
              <w:rPr>
                <w:rFonts w:cstheme="minorHAnsi"/>
                <w:lang w:val="en-US"/>
              </w:rPr>
              <w:t>– ARGO FSRU</w:t>
            </w:r>
          </w:p>
        </w:tc>
        <w:tc>
          <w:tcPr>
            <w:tcW w:w="1038" w:type="dxa"/>
            <w:vMerge w:val="restart"/>
            <w:vAlign w:val="center"/>
          </w:tcPr>
          <w:p w14:paraId="321ECBDC" w14:textId="77777777" w:rsidR="00A52D81" w:rsidRPr="00B74333" w:rsidRDefault="00A52D81" w:rsidP="009C1A5D">
            <w:pPr>
              <w:jc w:val="center"/>
              <w:rPr>
                <w:rFonts w:cstheme="minorHAnsi"/>
                <w:lang w:val="en-US"/>
              </w:rPr>
            </w:pPr>
            <w:r w:rsidRPr="00B74333">
              <w:rPr>
                <w:rFonts w:cstheme="minorHAnsi"/>
              </w:rPr>
              <w:t>3</w:t>
            </w:r>
          </w:p>
        </w:tc>
        <w:tc>
          <w:tcPr>
            <w:tcW w:w="1385" w:type="dxa"/>
            <w:gridSpan w:val="2"/>
            <w:vMerge w:val="restart"/>
            <w:vAlign w:val="center"/>
          </w:tcPr>
          <w:p w14:paraId="627F939B" w14:textId="77777777" w:rsidR="00A52D81" w:rsidRPr="00B74333" w:rsidRDefault="00A52D81" w:rsidP="009C1A5D">
            <w:pPr>
              <w:jc w:val="center"/>
              <w:rPr>
                <w:rFonts w:cstheme="minorHAnsi"/>
                <w:color w:val="000000"/>
                <w:lang w:val="en-US"/>
              </w:rPr>
            </w:pPr>
            <w:r w:rsidRPr="00B74333">
              <w:rPr>
                <w:rFonts w:cstheme="minorHAnsi"/>
              </w:rPr>
              <w:t>51</w:t>
            </w:r>
          </w:p>
        </w:tc>
        <w:tc>
          <w:tcPr>
            <w:tcW w:w="1208" w:type="dxa"/>
            <w:gridSpan w:val="2"/>
            <w:vMerge w:val="restart"/>
            <w:vAlign w:val="center"/>
          </w:tcPr>
          <w:p w14:paraId="534E9599" w14:textId="77777777" w:rsidR="00A52D81" w:rsidRPr="00B74333" w:rsidRDefault="00A52D81" w:rsidP="009C1A5D">
            <w:pPr>
              <w:jc w:val="center"/>
              <w:rPr>
                <w:rFonts w:cstheme="minorHAnsi"/>
                <w:color w:val="000000"/>
                <w:lang w:val="en-US"/>
              </w:rPr>
            </w:pPr>
            <w:r w:rsidRPr="00B74333">
              <w:rPr>
                <w:rFonts w:cstheme="minorHAnsi"/>
              </w:rPr>
              <w:t>86</w:t>
            </w:r>
          </w:p>
        </w:tc>
        <w:tc>
          <w:tcPr>
            <w:tcW w:w="1207" w:type="dxa"/>
            <w:vMerge w:val="restart"/>
            <w:vAlign w:val="center"/>
          </w:tcPr>
          <w:p w14:paraId="08CDE4D4" w14:textId="77777777" w:rsidR="00A52D81" w:rsidRPr="00B74333" w:rsidRDefault="00A52D81" w:rsidP="009C1A5D">
            <w:pPr>
              <w:jc w:val="center"/>
              <w:rPr>
                <w:rFonts w:cstheme="minorHAnsi"/>
                <w:color w:val="000000"/>
                <w:lang w:val="en-US"/>
              </w:rPr>
            </w:pPr>
            <w:r w:rsidRPr="00B74333">
              <w:rPr>
                <w:rFonts w:cstheme="minorHAnsi"/>
              </w:rPr>
              <w:t>165</w:t>
            </w:r>
          </w:p>
        </w:tc>
        <w:tc>
          <w:tcPr>
            <w:tcW w:w="1912" w:type="dxa"/>
            <w:vAlign w:val="center"/>
          </w:tcPr>
          <w:p w14:paraId="5DD04F1D"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A52D81" w:rsidRPr="00B74333" w14:paraId="5D169A97" w14:textId="77777777" w:rsidTr="00D22304">
        <w:trPr>
          <w:trHeight w:val="618"/>
        </w:trPr>
        <w:tc>
          <w:tcPr>
            <w:tcW w:w="1896" w:type="dxa"/>
            <w:vAlign w:val="center"/>
          </w:tcPr>
          <w:p w14:paraId="627C1BFA" w14:textId="2C31A66D" w:rsidR="00A52D81" w:rsidRPr="00B74333" w:rsidRDefault="00A52D81" w:rsidP="009C1A5D">
            <w:pPr>
              <w:jc w:val="center"/>
              <w:rPr>
                <w:rFonts w:eastAsia="Times New Roman" w:cstheme="minorHAnsi"/>
                <w:lang w:val="en-US"/>
              </w:rPr>
            </w:pPr>
            <w:r w:rsidRPr="00B74333">
              <w:rPr>
                <w:rFonts w:cstheme="minorHAnsi"/>
                <w:lang w:val="en-US"/>
              </w:rPr>
              <w:t xml:space="preserve">New </w:t>
            </w:r>
            <w:r w:rsidR="004A60D9" w:rsidRPr="00B74333">
              <w:rPr>
                <w:rFonts w:cstheme="minorHAnsi"/>
                <w:lang w:val="en-US"/>
              </w:rPr>
              <w:t xml:space="preserve">entry point </w:t>
            </w:r>
            <w:r w:rsidRPr="00B74333">
              <w:rPr>
                <w:rFonts w:cstheme="minorHAnsi"/>
                <w:lang w:val="en-US"/>
              </w:rPr>
              <w:t>– DIORYGA GAS FSRU</w:t>
            </w:r>
          </w:p>
        </w:tc>
        <w:tc>
          <w:tcPr>
            <w:tcW w:w="1038" w:type="dxa"/>
            <w:vMerge/>
            <w:vAlign w:val="center"/>
          </w:tcPr>
          <w:p w14:paraId="4E4A2128" w14:textId="77777777" w:rsidR="00A52D81" w:rsidRPr="00B74333" w:rsidRDefault="00A52D81" w:rsidP="009C1A5D">
            <w:pPr>
              <w:jc w:val="center"/>
              <w:rPr>
                <w:rFonts w:cstheme="minorHAnsi"/>
                <w:lang w:val="en-US"/>
              </w:rPr>
            </w:pPr>
          </w:p>
        </w:tc>
        <w:tc>
          <w:tcPr>
            <w:tcW w:w="1385" w:type="dxa"/>
            <w:gridSpan w:val="2"/>
            <w:vMerge/>
            <w:vAlign w:val="center"/>
          </w:tcPr>
          <w:p w14:paraId="0CE6E57C" w14:textId="77777777" w:rsidR="00A52D81" w:rsidRPr="00B74333" w:rsidRDefault="00A52D81" w:rsidP="009C1A5D">
            <w:pPr>
              <w:jc w:val="center"/>
              <w:rPr>
                <w:rFonts w:eastAsia="Times New Roman" w:cstheme="minorHAnsi"/>
                <w:lang w:val="en-US"/>
              </w:rPr>
            </w:pPr>
          </w:p>
        </w:tc>
        <w:tc>
          <w:tcPr>
            <w:tcW w:w="1208" w:type="dxa"/>
            <w:gridSpan w:val="2"/>
            <w:vMerge/>
            <w:vAlign w:val="center"/>
          </w:tcPr>
          <w:p w14:paraId="10FE7362" w14:textId="77777777" w:rsidR="00A52D81" w:rsidRPr="00B74333" w:rsidRDefault="00A52D81" w:rsidP="009C1A5D">
            <w:pPr>
              <w:jc w:val="center"/>
              <w:rPr>
                <w:rFonts w:eastAsia="Times New Roman" w:cstheme="minorHAnsi"/>
                <w:lang w:val="en-US"/>
              </w:rPr>
            </w:pPr>
          </w:p>
        </w:tc>
        <w:tc>
          <w:tcPr>
            <w:tcW w:w="1207" w:type="dxa"/>
            <w:vMerge/>
            <w:vAlign w:val="center"/>
          </w:tcPr>
          <w:p w14:paraId="0C9D25F6" w14:textId="77777777" w:rsidR="00A52D81" w:rsidRPr="00B74333" w:rsidRDefault="00A52D81" w:rsidP="009C1A5D">
            <w:pPr>
              <w:jc w:val="center"/>
              <w:rPr>
                <w:rFonts w:eastAsia="Times New Roman" w:cstheme="minorHAnsi"/>
                <w:lang w:val="en-US"/>
              </w:rPr>
            </w:pPr>
          </w:p>
        </w:tc>
        <w:tc>
          <w:tcPr>
            <w:tcW w:w="1912" w:type="dxa"/>
            <w:vAlign w:val="center"/>
          </w:tcPr>
          <w:p w14:paraId="03C5FA0E" w14:textId="77777777" w:rsidR="00A52D81" w:rsidRPr="00B74333" w:rsidRDefault="00A52D81" w:rsidP="009C1A5D">
            <w:pPr>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4F1D73" w:rsidRPr="00B74333" w14:paraId="0072A648" w14:textId="77777777" w:rsidTr="00D22304">
        <w:trPr>
          <w:trHeight w:val="618"/>
        </w:trPr>
        <w:tc>
          <w:tcPr>
            <w:tcW w:w="1896" w:type="dxa"/>
            <w:vAlign w:val="center"/>
          </w:tcPr>
          <w:p w14:paraId="473572D7" w14:textId="77777777" w:rsidR="004F1D73" w:rsidRPr="00B74333" w:rsidRDefault="004F1D73" w:rsidP="00687ED9">
            <w:pPr>
              <w:spacing w:line="276" w:lineRule="auto"/>
              <w:jc w:val="center"/>
              <w:rPr>
                <w:rFonts w:cstheme="minorHAnsi"/>
                <w:vertAlign w:val="superscript"/>
                <w:lang w:val="en-US"/>
              </w:rPr>
            </w:pPr>
            <w:r w:rsidRPr="00B74333">
              <w:rPr>
                <w:rFonts w:cstheme="minorHAnsi"/>
              </w:rPr>
              <w:t>Amfitriti</w:t>
            </w:r>
          </w:p>
        </w:tc>
        <w:tc>
          <w:tcPr>
            <w:tcW w:w="1038" w:type="dxa"/>
            <w:vMerge w:val="restart"/>
            <w:vAlign w:val="center"/>
          </w:tcPr>
          <w:p w14:paraId="68836FBB" w14:textId="44EBE39E" w:rsidR="004F1D73" w:rsidRPr="00B74333" w:rsidRDefault="004F1D73" w:rsidP="00687ED9">
            <w:pPr>
              <w:spacing w:line="276" w:lineRule="auto"/>
              <w:jc w:val="center"/>
              <w:rPr>
                <w:rFonts w:cstheme="minorHAnsi"/>
                <w:lang w:val="en-US"/>
              </w:rPr>
            </w:pPr>
            <w:r w:rsidRPr="00B74333">
              <w:rPr>
                <w:rFonts w:cstheme="minorHAnsi"/>
              </w:rPr>
              <w:t>4</w:t>
            </w:r>
            <w:r w:rsidR="00981380" w:rsidRPr="00B74333">
              <w:rPr>
                <w:rStyle w:val="FootnoteReference"/>
                <w:rFonts w:cstheme="minorHAnsi"/>
              </w:rPr>
              <w:footnoteReference w:id="13"/>
            </w:r>
          </w:p>
        </w:tc>
        <w:tc>
          <w:tcPr>
            <w:tcW w:w="1373" w:type="dxa"/>
            <w:vMerge w:val="restart"/>
            <w:vAlign w:val="center"/>
          </w:tcPr>
          <w:p w14:paraId="268BC174" w14:textId="3F9EA9AD" w:rsidR="004F1D73" w:rsidRPr="00B74333" w:rsidRDefault="004F1D73" w:rsidP="00687ED9">
            <w:pPr>
              <w:spacing w:line="276" w:lineRule="auto"/>
              <w:jc w:val="center"/>
              <w:rPr>
                <w:rFonts w:eastAsia="Times New Roman" w:cstheme="minorHAnsi"/>
                <w:vertAlign w:val="superscript"/>
              </w:rPr>
            </w:pPr>
            <w:r w:rsidRPr="00B74333">
              <w:rPr>
                <w:rFonts w:eastAsia="Times New Roman" w:cstheme="minorHAnsi"/>
              </w:rPr>
              <w:t xml:space="preserve"> 51</w:t>
            </w:r>
          </w:p>
        </w:tc>
        <w:tc>
          <w:tcPr>
            <w:tcW w:w="1212" w:type="dxa"/>
            <w:gridSpan w:val="2"/>
            <w:vMerge w:val="restart"/>
            <w:vAlign w:val="center"/>
          </w:tcPr>
          <w:p w14:paraId="5A893B15" w14:textId="73E02FC4" w:rsidR="004F1D73" w:rsidRPr="00B74333" w:rsidRDefault="004F1D73" w:rsidP="00687ED9">
            <w:pPr>
              <w:spacing w:line="276" w:lineRule="auto"/>
              <w:jc w:val="center"/>
              <w:rPr>
                <w:rFonts w:eastAsia="Times New Roman" w:cstheme="minorHAnsi"/>
                <w:vertAlign w:val="superscript"/>
                <w:lang w:val="en-US"/>
              </w:rPr>
            </w:pPr>
            <w:r w:rsidRPr="00B74333">
              <w:rPr>
                <w:rFonts w:eastAsia="Times New Roman" w:cstheme="minorHAnsi"/>
              </w:rPr>
              <w:t>86</w:t>
            </w:r>
          </w:p>
        </w:tc>
        <w:tc>
          <w:tcPr>
            <w:tcW w:w="1215" w:type="dxa"/>
            <w:gridSpan w:val="2"/>
            <w:vMerge w:val="restart"/>
            <w:vAlign w:val="center"/>
          </w:tcPr>
          <w:p w14:paraId="156239AB" w14:textId="4F7B56D8" w:rsidR="004F1D73" w:rsidRPr="00B74333" w:rsidRDefault="004F1D73" w:rsidP="00687ED9">
            <w:pPr>
              <w:spacing w:line="276" w:lineRule="auto"/>
              <w:jc w:val="center"/>
              <w:rPr>
                <w:rFonts w:eastAsia="Times New Roman" w:cstheme="minorHAnsi"/>
                <w:lang w:val="en-US"/>
              </w:rPr>
            </w:pPr>
            <w:r w:rsidRPr="00B74333">
              <w:rPr>
                <w:rFonts w:eastAsia="Times New Roman" w:cstheme="minorHAnsi"/>
              </w:rPr>
              <w:t>103</w:t>
            </w:r>
          </w:p>
        </w:tc>
        <w:tc>
          <w:tcPr>
            <w:tcW w:w="1912" w:type="dxa"/>
            <w:vAlign w:val="center"/>
          </w:tcPr>
          <w:p w14:paraId="744B1BB3" w14:textId="77777777" w:rsidR="004F1D73" w:rsidRPr="00B74333" w:rsidRDefault="004F1D73" w:rsidP="00687ED9">
            <w:pPr>
              <w:spacing w:line="276" w:lineRule="auto"/>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4F1D73" w:rsidRPr="00B74333" w14:paraId="6A01B737" w14:textId="77777777" w:rsidTr="00D22304">
        <w:trPr>
          <w:trHeight w:val="618"/>
        </w:trPr>
        <w:tc>
          <w:tcPr>
            <w:tcW w:w="1896" w:type="dxa"/>
            <w:vAlign w:val="center"/>
          </w:tcPr>
          <w:p w14:paraId="4961BC32" w14:textId="77777777" w:rsidR="004F1D73" w:rsidRPr="00B74333" w:rsidRDefault="004F1D73" w:rsidP="00687ED9">
            <w:pPr>
              <w:spacing w:line="276" w:lineRule="auto"/>
              <w:jc w:val="center"/>
              <w:rPr>
                <w:rFonts w:cstheme="minorHAnsi"/>
                <w:vertAlign w:val="superscript"/>
                <w:lang w:val="en-US"/>
              </w:rPr>
            </w:pPr>
            <w:proofErr w:type="spellStart"/>
            <w:r w:rsidRPr="00B74333">
              <w:rPr>
                <w:rFonts w:cstheme="minorHAnsi"/>
              </w:rPr>
              <w:t>Kipi</w:t>
            </w:r>
            <w:proofErr w:type="spellEnd"/>
            <w:r w:rsidRPr="00B74333">
              <w:rPr>
                <w:rFonts w:cstheme="minorHAnsi"/>
              </w:rPr>
              <w:t xml:space="preserve"> IP</w:t>
            </w:r>
          </w:p>
        </w:tc>
        <w:tc>
          <w:tcPr>
            <w:tcW w:w="1038" w:type="dxa"/>
            <w:vMerge/>
            <w:vAlign w:val="center"/>
          </w:tcPr>
          <w:p w14:paraId="457DB22A" w14:textId="77777777" w:rsidR="004F1D73" w:rsidRPr="00B74333" w:rsidRDefault="004F1D73" w:rsidP="00687ED9">
            <w:pPr>
              <w:spacing w:line="276" w:lineRule="auto"/>
              <w:jc w:val="center"/>
              <w:rPr>
                <w:rFonts w:cstheme="minorHAnsi"/>
                <w:lang w:val="en-US"/>
              </w:rPr>
            </w:pPr>
          </w:p>
        </w:tc>
        <w:tc>
          <w:tcPr>
            <w:tcW w:w="1373" w:type="dxa"/>
            <w:vMerge/>
            <w:vAlign w:val="center"/>
          </w:tcPr>
          <w:p w14:paraId="13DD0983" w14:textId="77777777" w:rsidR="004F1D73" w:rsidRPr="00B74333" w:rsidRDefault="004F1D73" w:rsidP="00687ED9">
            <w:pPr>
              <w:spacing w:line="276" w:lineRule="auto"/>
              <w:jc w:val="center"/>
              <w:rPr>
                <w:rFonts w:eastAsia="Times New Roman" w:cstheme="minorHAnsi"/>
              </w:rPr>
            </w:pPr>
          </w:p>
        </w:tc>
        <w:tc>
          <w:tcPr>
            <w:tcW w:w="1212" w:type="dxa"/>
            <w:gridSpan w:val="2"/>
            <w:vMerge/>
            <w:vAlign w:val="center"/>
          </w:tcPr>
          <w:p w14:paraId="21C2A502" w14:textId="77777777" w:rsidR="004F1D73" w:rsidRPr="00B74333" w:rsidRDefault="004F1D73" w:rsidP="00687ED9">
            <w:pPr>
              <w:spacing w:line="276" w:lineRule="auto"/>
              <w:jc w:val="center"/>
              <w:rPr>
                <w:rFonts w:eastAsia="Times New Roman" w:cstheme="minorHAnsi"/>
              </w:rPr>
            </w:pPr>
          </w:p>
        </w:tc>
        <w:tc>
          <w:tcPr>
            <w:tcW w:w="1215" w:type="dxa"/>
            <w:gridSpan w:val="2"/>
            <w:vMerge/>
            <w:vAlign w:val="center"/>
          </w:tcPr>
          <w:p w14:paraId="0228DF10" w14:textId="35763BB3" w:rsidR="004F1D73" w:rsidRPr="00B74333" w:rsidRDefault="004F1D73" w:rsidP="00687ED9">
            <w:pPr>
              <w:spacing w:line="276" w:lineRule="auto"/>
              <w:jc w:val="center"/>
              <w:rPr>
                <w:rFonts w:eastAsia="Times New Roman" w:cstheme="minorHAnsi"/>
                <w:lang w:val="en-US"/>
              </w:rPr>
            </w:pPr>
          </w:p>
        </w:tc>
        <w:tc>
          <w:tcPr>
            <w:tcW w:w="1912" w:type="dxa"/>
            <w:vAlign w:val="center"/>
          </w:tcPr>
          <w:p w14:paraId="75020834" w14:textId="77777777" w:rsidR="004F1D73" w:rsidRPr="00B74333" w:rsidRDefault="004F1D73" w:rsidP="00687ED9">
            <w:pPr>
              <w:spacing w:line="276" w:lineRule="auto"/>
              <w:jc w:val="center"/>
              <w:rPr>
                <w:rFonts w:eastAsia="Times New Roman" w:cstheme="minorHAnsi"/>
                <w:lang w:val="en-US"/>
              </w:rPr>
            </w:pPr>
            <w:proofErr w:type="spellStart"/>
            <w:r w:rsidRPr="00B74333">
              <w:rPr>
                <w:rFonts w:eastAsia="Times New Roman" w:cstheme="minorHAnsi"/>
              </w:rPr>
              <w:t>Entry</w:t>
            </w:r>
            <w:proofErr w:type="spellEnd"/>
            <w:r w:rsidRPr="00B74333">
              <w:rPr>
                <w:rFonts w:eastAsia="Times New Roman" w:cstheme="minorHAnsi"/>
              </w:rPr>
              <w:t xml:space="preserve"> DESFA</w:t>
            </w:r>
          </w:p>
        </w:tc>
      </w:tr>
      <w:tr w:rsidR="004F1D73" w:rsidRPr="00B74333" w14:paraId="5C6008CA" w14:textId="77777777" w:rsidTr="00D22304">
        <w:trPr>
          <w:trHeight w:val="309"/>
        </w:trPr>
        <w:tc>
          <w:tcPr>
            <w:tcW w:w="1896" w:type="dxa"/>
            <w:vAlign w:val="center"/>
          </w:tcPr>
          <w:p w14:paraId="22C3F57D" w14:textId="39312659" w:rsidR="004F1D73" w:rsidRPr="00B74333" w:rsidRDefault="004F1D73" w:rsidP="00687ED9">
            <w:pPr>
              <w:spacing w:line="276" w:lineRule="auto"/>
              <w:jc w:val="center"/>
              <w:rPr>
                <w:rFonts w:cstheme="minorHAnsi"/>
                <w:b/>
                <w:lang w:val="en-US"/>
              </w:rPr>
            </w:pPr>
            <w:proofErr w:type="spellStart"/>
            <w:r w:rsidRPr="00B74333">
              <w:rPr>
                <w:rFonts w:cstheme="minorHAnsi"/>
                <w:b/>
              </w:rPr>
              <w:t>Starting</w:t>
            </w:r>
            <w:proofErr w:type="spellEnd"/>
            <w:r w:rsidRPr="00B74333">
              <w:rPr>
                <w:rFonts w:cstheme="minorHAnsi"/>
                <w:b/>
              </w:rPr>
              <w:t xml:space="preserve"> </w:t>
            </w:r>
            <w:proofErr w:type="spellStart"/>
            <w:r w:rsidRPr="00B74333">
              <w:rPr>
                <w:rFonts w:cstheme="minorHAnsi"/>
                <w:b/>
              </w:rPr>
              <w:t>Date</w:t>
            </w:r>
            <w:proofErr w:type="spellEnd"/>
          </w:p>
        </w:tc>
        <w:tc>
          <w:tcPr>
            <w:tcW w:w="1038" w:type="dxa"/>
            <w:vAlign w:val="center"/>
          </w:tcPr>
          <w:p w14:paraId="52AD8C35" w14:textId="77777777" w:rsidR="004F1D73" w:rsidRPr="00B74333" w:rsidRDefault="004F1D73" w:rsidP="00687ED9">
            <w:pPr>
              <w:spacing w:line="276" w:lineRule="auto"/>
              <w:jc w:val="center"/>
              <w:rPr>
                <w:rFonts w:cstheme="minorHAnsi"/>
              </w:rPr>
            </w:pPr>
          </w:p>
        </w:tc>
        <w:tc>
          <w:tcPr>
            <w:tcW w:w="1373" w:type="dxa"/>
            <w:vAlign w:val="center"/>
          </w:tcPr>
          <w:p w14:paraId="66E8B840" w14:textId="6346B3EA" w:rsidR="004F1D73" w:rsidRPr="00B74333" w:rsidRDefault="004F1D73" w:rsidP="00687ED9">
            <w:pPr>
              <w:spacing w:line="276" w:lineRule="auto"/>
              <w:jc w:val="center"/>
              <w:rPr>
                <w:rFonts w:eastAsia="Times New Roman" w:cstheme="minorHAnsi"/>
                <w:lang w:val="en-US"/>
              </w:rPr>
            </w:pPr>
            <w:r w:rsidRPr="00B74333">
              <w:rPr>
                <w:rFonts w:eastAsia="Times New Roman" w:cstheme="minorHAnsi"/>
              </w:rPr>
              <w:t>Q4 2028</w:t>
            </w:r>
          </w:p>
        </w:tc>
        <w:tc>
          <w:tcPr>
            <w:tcW w:w="1212" w:type="dxa"/>
            <w:gridSpan w:val="2"/>
            <w:vAlign w:val="center"/>
          </w:tcPr>
          <w:p w14:paraId="08F157C7" w14:textId="3AA9346D" w:rsidR="004F1D73" w:rsidRPr="00B74333" w:rsidRDefault="00981380" w:rsidP="00687ED9">
            <w:pPr>
              <w:spacing w:line="276" w:lineRule="auto"/>
              <w:jc w:val="center"/>
              <w:rPr>
                <w:rFonts w:eastAsia="Times New Roman" w:cstheme="minorHAnsi"/>
                <w:lang w:val="en-US"/>
              </w:rPr>
            </w:pPr>
            <w:r w:rsidRPr="00B74333">
              <w:rPr>
                <w:rFonts w:eastAsia="Times New Roman" w:cstheme="minorHAnsi"/>
              </w:rPr>
              <w:t>Q2</w:t>
            </w:r>
            <w:r w:rsidR="006658AD" w:rsidRPr="00B74333">
              <w:rPr>
                <w:rStyle w:val="FootnoteReference"/>
                <w:rFonts w:eastAsia="Times New Roman" w:cstheme="minorHAnsi"/>
              </w:rPr>
              <w:footnoteReference w:id="14"/>
            </w:r>
            <w:r w:rsidRPr="00B74333">
              <w:rPr>
                <w:rFonts w:eastAsia="Times New Roman" w:cstheme="minorHAnsi"/>
              </w:rPr>
              <w:t xml:space="preserve"> 2029</w:t>
            </w:r>
          </w:p>
        </w:tc>
        <w:tc>
          <w:tcPr>
            <w:tcW w:w="1215" w:type="dxa"/>
            <w:gridSpan w:val="2"/>
            <w:vAlign w:val="center"/>
          </w:tcPr>
          <w:p w14:paraId="2DC12FAE" w14:textId="5CACA030" w:rsidR="004F1D73" w:rsidRPr="00B74333" w:rsidRDefault="00981380" w:rsidP="00687ED9">
            <w:pPr>
              <w:spacing w:line="276" w:lineRule="auto"/>
              <w:jc w:val="center"/>
              <w:rPr>
                <w:rFonts w:eastAsia="Times New Roman" w:cstheme="minorHAnsi"/>
                <w:lang w:val="en-US"/>
              </w:rPr>
            </w:pPr>
            <w:r w:rsidRPr="00B74333">
              <w:rPr>
                <w:rFonts w:eastAsia="Times New Roman" w:cstheme="minorHAnsi"/>
              </w:rPr>
              <w:t>Q4 2029</w:t>
            </w:r>
          </w:p>
        </w:tc>
        <w:tc>
          <w:tcPr>
            <w:tcW w:w="1912" w:type="dxa"/>
            <w:vAlign w:val="center"/>
          </w:tcPr>
          <w:p w14:paraId="674EFD80" w14:textId="77777777" w:rsidR="004F1D73" w:rsidRPr="00B74333" w:rsidRDefault="004F1D73" w:rsidP="00687ED9">
            <w:pPr>
              <w:spacing w:line="276" w:lineRule="auto"/>
              <w:jc w:val="center"/>
              <w:rPr>
                <w:rFonts w:eastAsia="Times New Roman" w:cstheme="minorHAnsi"/>
              </w:rPr>
            </w:pPr>
          </w:p>
        </w:tc>
      </w:tr>
    </w:tbl>
    <w:p w14:paraId="1F9315CC" w14:textId="77777777" w:rsidR="00E21D51" w:rsidRPr="00B74333" w:rsidRDefault="00E21D51" w:rsidP="00687ED9">
      <w:pPr>
        <w:pStyle w:val="ListParagraph"/>
        <w:widowControl w:val="0"/>
        <w:suppressAutoHyphens/>
        <w:spacing w:after="120" w:line="360" w:lineRule="auto"/>
        <w:ind w:left="792"/>
        <w:jc w:val="both"/>
        <w:rPr>
          <w:rFonts w:cstheme="minorHAnsi"/>
          <w:color w:val="FF0000"/>
        </w:rPr>
      </w:pPr>
    </w:p>
    <w:p w14:paraId="62815B9B" w14:textId="69AE501A" w:rsidR="00BC409B" w:rsidRPr="00B74333" w:rsidRDefault="00BC409B" w:rsidP="00A676F7">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For Kulata/Sidirokastro IP, Komotini IP and Nea Messimvria IP, the capacity presented in the Table above is calculated by reducing the incremental capacity to be built by 10%, which will be offered as short-term capacity</w:t>
      </w:r>
      <w:r w:rsidR="001B122F" w:rsidRPr="00B74333">
        <w:rPr>
          <w:rFonts w:cstheme="minorHAnsi"/>
        </w:rPr>
        <w:t>, in line with the provisions of article 8 of the CAM NC</w:t>
      </w:r>
      <w:r w:rsidRPr="00B74333">
        <w:rPr>
          <w:rFonts w:cstheme="minorHAnsi"/>
        </w:rPr>
        <w:t xml:space="preserve">.  </w:t>
      </w:r>
    </w:p>
    <w:p w14:paraId="79694CF1" w14:textId="598535E3" w:rsidR="00213094" w:rsidRPr="00B74333" w:rsidRDefault="00116C8D" w:rsidP="00213094">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 xml:space="preserve">DESFA shall offer </w:t>
      </w:r>
      <w:r w:rsidR="00CD6B12" w:rsidRPr="00B74333">
        <w:rPr>
          <w:rFonts w:cstheme="minorHAnsi"/>
        </w:rPr>
        <w:t xml:space="preserve">yearly capacity products, </w:t>
      </w:r>
      <w:r w:rsidRPr="00B74333">
        <w:rPr>
          <w:rFonts w:cstheme="minorHAnsi"/>
        </w:rPr>
        <w:t xml:space="preserve">expressed in kWh/Gas Day. </w:t>
      </w:r>
      <w:r w:rsidR="000B6339" w:rsidRPr="00B74333">
        <w:rPr>
          <w:rFonts w:cstheme="minorHAnsi"/>
        </w:rPr>
        <w:t xml:space="preserve">Incremental capacity will be offered to Participants for a minimum duration of </w:t>
      </w:r>
      <w:r w:rsidR="00CD6B12" w:rsidRPr="00B74333">
        <w:rPr>
          <w:rFonts w:cstheme="minorHAnsi"/>
        </w:rPr>
        <w:t xml:space="preserve">3 </w:t>
      </w:r>
      <w:r w:rsidR="0061053C" w:rsidRPr="00B74333">
        <w:rPr>
          <w:rFonts w:cstheme="minorHAnsi"/>
        </w:rPr>
        <w:t>(</w:t>
      </w:r>
      <w:r w:rsidR="00CD6B12" w:rsidRPr="00B74333">
        <w:rPr>
          <w:rFonts w:cstheme="minorHAnsi"/>
        </w:rPr>
        <w:t>three</w:t>
      </w:r>
      <w:r w:rsidR="0061053C" w:rsidRPr="00B74333">
        <w:rPr>
          <w:rFonts w:cstheme="minorHAnsi"/>
        </w:rPr>
        <w:t xml:space="preserve">) </w:t>
      </w:r>
      <w:r w:rsidR="000B6339" w:rsidRPr="00B74333">
        <w:rPr>
          <w:rFonts w:cstheme="minorHAnsi"/>
        </w:rPr>
        <w:t xml:space="preserve">consecutive gas years. Demand requests of shorter duration will also be evaluated in the allocation process, subject to the restrictions described </w:t>
      </w:r>
      <w:r w:rsidR="007D4602" w:rsidRPr="00B74333">
        <w:rPr>
          <w:rFonts w:cstheme="minorHAnsi"/>
        </w:rPr>
        <w:t xml:space="preserve">in the </w:t>
      </w:r>
      <w:r w:rsidR="00134C36" w:rsidRPr="00B74333">
        <w:rPr>
          <w:rFonts w:cstheme="minorHAnsi"/>
        </w:rPr>
        <w:t>Guidelines and the relevant Project Proposals, when applicable</w:t>
      </w:r>
      <w:r w:rsidR="000B6339" w:rsidRPr="00B74333">
        <w:rPr>
          <w:rFonts w:cstheme="minorHAnsi"/>
        </w:rPr>
        <w:t>.</w:t>
      </w:r>
    </w:p>
    <w:p w14:paraId="1C2FF815" w14:textId="5C8F1D71" w:rsidR="00213094" w:rsidRPr="00B74333" w:rsidRDefault="00213094" w:rsidP="00213094">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 xml:space="preserve">Especially for Komotini IP, Participants will be able to submit Binding Bids for capacity as of Q4 2026. On ICGB’s side of the IP (Entry ICGB) firm incremental capacity will be bundled with Coupled Capacity (with Entry Amfitriti or Kipi) on DESFA’s side of the IP (Exit DESFA). Participants shall submit Linked Bids to DESFA linking Amfitriti or Kipi entry point to Komotini IP (Exit DESFA). Binding Bids submitted to DESFA as Linked Bids will be considered as bids for Coupled Capacity until the starting date of the selected Expansion Project. Binding Bids submitted to DESFA as non-Linked Bids having a Start Gas Year prior to the starting date of the selected Expansion Project will be curtailed for every Gas Year before the Gas Year including the starting date of the selected </w:t>
      </w:r>
      <w:r w:rsidRPr="00B74333">
        <w:rPr>
          <w:rFonts w:cstheme="minorHAnsi"/>
        </w:rPr>
        <w:lastRenderedPageBreak/>
        <w:t>Expansion Project. It should be noted that for the Gas Year including the starting date of the selected Expansion Project, Binding Bids will be curtailed up to said starting date.</w:t>
      </w:r>
      <w:r w:rsidRPr="00B74333" w:rsidDel="001A7B07">
        <w:rPr>
          <w:rFonts w:cstheme="minorHAnsi"/>
        </w:rPr>
        <w:t xml:space="preserve"> </w:t>
      </w:r>
      <w:r w:rsidRPr="00B74333">
        <w:rPr>
          <w:rFonts w:cstheme="minorHAnsi"/>
        </w:rPr>
        <w:t>On DESFA’s side of the IP the offer of the Coupled Capacity has as a prerequisite the completion of the fourth unit of the projected CS at Komotini, currently estimated to be completed within 2025.</w:t>
      </w:r>
    </w:p>
    <w:p w14:paraId="2E90147F" w14:textId="16FA7B14" w:rsidR="00101D74" w:rsidRPr="00B74333" w:rsidRDefault="002B5BB9">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E</w:t>
      </w:r>
      <w:r w:rsidR="00656DF0" w:rsidRPr="00B74333">
        <w:rPr>
          <w:rFonts w:cstheme="minorHAnsi"/>
        </w:rPr>
        <w:t xml:space="preserve">ach Gas Year, for which </w:t>
      </w:r>
      <w:r w:rsidR="00E132CA" w:rsidRPr="00B74333">
        <w:rPr>
          <w:rFonts w:cstheme="minorHAnsi"/>
        </w:rPr>
        <w:t>incremental</w:t>
      </w:r>
      <w:r w:rsidR="00656DF0" w:rsidRPr="00B74333">
        <w:rPr>
          <w:rFonts w:cstheme="minorHAnsi"/>
        </w:rPr>
        <w:t xml:space="preserve"> Capacity is requested, is considered as a </w:t>
      </w:r>
      <w:r w:rsidR="00782F08" w:rsidRPr="00B74333">
        <w:rPr>
          <w:rFonts w:cstheme="minorHAnsi"/>
        </w:rPr>
        <w:t>distinct</w:t>
      </w:r>
      <w:r w:rsidR="00EE3318" w:rsidRPr="00B74333">
        <w:rPr>
          <w:rFonts w:cstheme="minorHAnsi"/>
        </w:rPr>
        <w:t xml:space="preserve"> yearly capacity</w:t>
      </w:r>
      <w:r w:rsidR="00782F08" w:rsidRPr="00B74333">
        <w:rPr>
          <w:rFonts w:cstheme="minorHAnsi"/>
        </w:rPr>
        <w:t xml:space="preserve"> </w:t>
      </w:r>
      <w:r w:rsidR="00B52035" w:rsidRPr="00B74333">
        <w:rPr>
          <w:rFonts w:cstheme="minorHAnsi"/>
        </w:rPr>
        <w:t>p</w:t>
      </w:r>
      <w:r w:rsidR="00656DF0" w:rsidRPr="00B74333">
        <w:rPr>
          <w:rFonts w:cstheme="minorHAnsi"/>
        </w:rPr>
        <w:t xml:space="preserve">roduct. Participants shall declare the Capacity </w:t>
      </w:r>
      <w:r w:rsidR="000A7EC0" w:rsidRPr="00B74333">
        <w:rPr>
          <w:rFonts w:cstheme="minorHAnsi"/>
        </w:rPr>
        <w:t xml:space="preserve">requested </w:t>
      </w:r>
      <w:r w:rsidR="00656DF0" w:rsidRPr="00B74333">
        <w:rPr>
          <w:rFonts w:cstheme="minorHAnsi"/>
        </w:rPr>
        <w:t xml:space="preserve">in the Binding </w:t>
      </w:r>
      <w:r w:rsidR="005C2729" w:rsidRPr="00B74333">
        <w:rPr>
          <w:rFonts w:cstheme="minorHAnsi"/>
        </w:rPr>
        <w:t xml:space="preserve">Bid </w:t>
      </w:r>
      <w:r w:rsidR="00656DF0" w:rsidRPr="00B74333">
        <w:rPr>
          <w:rFonts w:cstheme="minorHAnsi"/>
        </w:rPr>
        <w:t>Form</w:t>
      </w:r>
      <w:r w:rsidR="00762F6E" w:rsidRPr="00B74333">
        <w:rPr>
          <w:rFonts w:cstheme="minorHAnsi"/>
        </w:rPr>
        <w:t xml:space="preserve"> attached in Annex </w:t>
      </w:r>
      <w:r w:rsidR="003C1AA8" w:rsidRPr="00B74333">
        <w:rPr>
          <w:rFonts w:cstheme="minorHAnsi"/>
        </w:rPr>
        <w:t>IV</w:t>
      </w:r>
      <w:r w:rsidR="00101D74" w:rsidRPr="00B74333">
        <w:rPr>
          <w:rFonts w:cstheme="minorHAnsi"/>
        </w:rPr>
        <w:t>.</w:t>
      </w:r>
    </w:p>
    <w:p w14:paraId="686F0A06" w14:textId="16EF08DA" w:rsidR="00656DF0" w:rsidRPr="00B74333" w:rsidRDefault="00656DF0">
      <w:pPr>
        <w:pStyle w:val="ListParagraph"/>
        <w:widowControl w:val="0"/>
        <w:numPr>
          <w:ilvl w:val="1"/>
          <w:numId w:val="24"/>
        </w:numPr>
        <w:suppressAutoHyphens/>
        <w:spacing w:after="120" w:line="360" w:lineRule="auto"/>
        <w:ind w:left="426" w:hanging="568"/>
        <w:jc w:val="both"/>
        <w:rPr>
          <w:rFonts w:cstheme="minorHAnsi"/>
        </w:rPr>
      </w:pPr>
      <w:r w:rsidRPr="00B74333">
        <w:rPr>
          <w:rFonts w:cstheme="minorHAnsi"/>
        </w:rPr>
        <w:t xml:space="preserve">Participants </w:t>
      </w:r>
      <w:r w:rsidR="00101D74" w:rsidRPr="00B74333">
        <w:rPr>
          <w:rFonts w:cstheme="minorHAnsi"/>
        </w:rPr>
        <w:t>must also</w:t>
      </w:r>
      <w:r w:rsidRPr="00B74333">
        <w:rPr>
          <w:rFonts w:cstheme="minorHAnsi"/>
        </w:rPr>
        <w:t xml:space="preserve"> declare, in the Binding </w:t>
      </w:r>
      <w:r w:rsidR="00101D74" w:rsidRPr="00B74333">
        <w:rPr>
          <w:rFonts w:cstheme="minorHAnsi"/>
        </w:rPr>
        <w:t xml:space="preserve">Bid </w:t>
      </w:r>
      <w:r w:rsidRPr="00B74333">
        <w:rPr>
          <w:rFonts w:cstheme="minorHAnsi"/>
        </w:rPr>
        <w:t xml:space="preserve">Form, whether they accept, or not, the allocation of a capacity lower than </w:t>
      </w:r>
      <w:r w:rsidR="00392FB1" w:rsidRPr="00B74333">
        <w:rPr>
          <w:rFonts w:cstheme="minorHAnsi"/>
        </w:rPr>
        <w:t>the capacity requested with their Binding Bid</w:t>
      </w:r>
      <w:r w:rsidRPr="00B74333">
        <w:rPr>
          <w:rFonts w:cstheme="minorHAnsi"/>
        </w:rPr>
        <w:t>, in case there will not be sufficient capacity available to be allocated to all Participants in accordance with their requests</w:t>
      </w:r>
      <w:r w:rsidR="004C230C" w:rsidRPr="00B74333">
        <w:rPr>
          <w:rFonts w:cstheme="minorHAnsi"/>
        </w:rPr>
        <w:t>, according to Section 5.2 of the Guidelines and the Project Proposals</w:t>
      </w:r>
      <w:r w:rsidRPr="00B74333">
        <w:rPr>
          <w:rFonts w:cstheme="minorHAnsi"/>
        </w:rPr>
        <w:t>.</w:t>
      </w:r>
    </w:p>
    <w:p w14:paraId="06E089BC" w14:textId="77777777" w:rsidR="00AB2293" w:rsidRPr="00B74333" w:rsidRDefault="00AB2293" w:rsidP="005D6B1B">
      <w:pPr>
        <w:pStyle w:val="ListParagraph"/>
        <w:widowControl w:val="0"/>
        <w:suppressAutoHyphens/>
        <w:spacing w:after="120" w:line="360" w:lineRule="auto"/>
        <w:ind w:left="426"/>
        <w:jc w:val="both"/>
        <w:rPr>
          <w:rFonts w:cstheme="minorHAnsi"/>
        </w:rPr>
      </w:pPr>
    </w:p>
    <w:p w14:paraId="6F10A6F1" w14:textId="034D95E1" w:rsidR="007D0463" w:rsidRPr="00B74333" w:rsidRDefault="003D5005" w:rsidP="00E77C68">
      <w:pPr>
        <w:pStyle w:val="Heading1"/>
        <w:spacing w:after="160"/>
        <w:ind w:left="426"/>
      </w:pPr>
      <w:bookmarkStart w:id="24" w:name="_Toc495669330"/>
      <w:bookmarkStart w:id="25" w:name="_Toc496007350"/>
      <w:bookmarkStart w:id="26" w:name="_Toc496026859"/>
      <w:bookmarkStart w:id="27" w:name="_Toc496027154"/>
      <w:bookmarkStart w:id="28" w:name="_Toc496031040"/>
      <w:bookmarkStart w:id="29" w:name="_Toc496031106"/>
      <w:bookmarkStart w:id="30" w:name="_Toc496031151"/>
      <w:bookmarkStart w:id="31" w:name="_Toc496179263"/>
      <w:bookmarkStart w:id="32" w:name="_Toc496185920"/>
      <w:bookmarkStart w:id="33" w:name="_Toc25850986"/>
      <w:bookmarkStart w:id="34" w:name="_Toc26384424"/>
      <w:bookmarkStart w:id="35" w:name="_Toc28009889"/>
      <w:bookmarkStart w:id="36" w:name="_Toc37333756"/>
      <w:bookmarkStart w:id="37" w:name="_Toc71289526"/>
      <w:bookmarkStart w:id="38" w:name="_Toc165465557"/>
      <w:bookmarkEnd w:id="24"/>
      <w:bookmarkEnd w:id="25"/>
      <w:bookmarkEnd w:id="26"/>
      <w:bookmarkEnd w:id="27"/>
      <w:bookmarkEnd w:id="28"/>
      <w:bookmarkEnd w:id="29"/>
      <w:bookmarkEnd w:id="30"/>
      <w:bookmarkEnd w:id="31"/>
      <w:bookmarkEnd w:id="32"/>
      <w:bookmarkEnd w:id="33"/>
      <w:bookmarkEnd w:id="34"/>
      <w:r w:rsidRPr="00B74333">
        <w:t xml:space="preserve">Article </w:t>
      </w:r>
      <w:r w:rsidR="00473712" w:rsidRPr="00B74333">
        <w:t>4</w:t>
      </w:r>
      <w:r w:rsidRPr="00B74333">
        <w:t xml:space="preserve"> - </w:t>
      </w:r>
      <w:r w:rsidR="007D0463" w:rsidRPr="00B74333">
        <w:t>Timeline</w:t>
      </w:r>
      <w:bookmarkEnd w:id="35"/>
      <w:bookmarkEnd w:id="36"/>
      <w:bookmarkEnd w:id="37"/>
      <w:bookmarkEnd w:id="38"/>
    </w:p>
    <w:p w14:paraId="0FDE90A5" w14:textId="34AA672B" w:rsidR="00271EA8" w:rsidRPr="00B74333" w:rsidRDefault="007D0463" w:rsidP="007D34C4">
      <w:pPr>
        <w:pStyle w:val="ListParagraph"/>
        <w:widowControl w:val="0"/>
        <w:numPr>
          <w:ilvl w:val="1"/>
          <w:numId w:val="27"/>
        </w:numPr>
        <w:suppressAutoHyphens/>
        <w:spacing w:after="120" w:line="360" w:lineRule="auto"/>
        <w:ind w:left="426" w:hanging="568"/>
        <w:jc w:val="both"/>
      </w:pPr>
      <w:r w:rsidRPr="00B74333">
        <w:t>The Binding Phase commence</w:t>
      </w:r>
      <w:r w:rsidR="00732E0A" w:rsidRPr="00B74333">
        <w:t>s</w:t>
      </w:r>
      <w:r w:rsidRPr="00B74333">
        <w:t xml:space="preserve"> with the publication of the Joint Notice</w:t>
      </w:r>
      <w:r w:rsidR="002E5839" w:rsidRPr="00B74333">
        <w:t xml:space="preserve">s and </w:t>
      </w:r>
      <w:r w:rsidR="00FC314B" w:rsidRPr="00B74333">
        <w:t>the present Notice</w:t>
      </w:r>
      <w:r w:rsidRPr="00B74333">
        <w:t xml:space="preserve"> on the websites</w:t>
      </w:r>
      <w:r w:rsidR="00841AEB" w:rsidRPr="00B74333">
        <w:t xml:space="preserve"> of the TSOs Concerned</w:t>
      </w:r>
      <w:r w:rsidRPr="00B74333">
        <w:t xml:space="preserve"> </w:t>
      </w:r>
      <w:r w:rsidR="00453512" w:rsidRPr="00B74333">
        <w:t>on</w:t>
      </w:r>
      <w:r w:rsidR="00732E0A" w:rsidRPr="00B74333">
        <w:t xml:space="preserve"> the </w:t>
      </w:r>
      <w:r w:rsidR="00216190" w:rsidRPr="00B74333">
        <w:t>2</w:t>
      </w:r>
      <w:r w:rsidR="00C1449C" w:rsidRPr="00B74333">
        <w:rPr>
          <w:vertAlign w:val="superscript"/>
        </w:rPr>
        <w:t>nd</w:t>
      </w:r>
      <w:r w:rsidR="00477E92" w:rsidRPr="00B74333">
        <w:t xml:space="preserve"> </w:t>
      </w:r>
      <w:r w:rsidR="00732E0A" w:rsidRPr="00B74333">
        <w:t>of</w:t>
      </w:r>
      <w:r w:rsidRPr="00B74333">
        <w:t xml:space="preserve"> </w:t>
      </w:r>
      <w:r w:rsidR="00C1449C" w:rsidRPr="00B74333">
        <w:t>May</w:t>
      </w:r>
      <w:r w:rsidRPr="00B74333">
        <w:t xml:space="preserve"> 202</w:t>
      </w:r>
      <w:r w:rsidR="00C1449C" w:rsidRPr="00B74333">
        <w:t>4</w:t>
      </w:r>
      <w:r w:rsidRPr="00B74333">
        <w:t>.</w:t>
      </w:r>
      <w:r w:rsidRPr="00B74333">
        <w:fldChar w:fldCharType="begin"/>
      </w:r>
      <w:r w:rsidRPr="00B74333">
        <w:instrText xml:space="preserve"> XE "Binding Bidding Phase Notice" </w:instrText>
      </w:r>
      <w:r w:rsidRPr="00B74333">
        <w:fldChar w:fldCharType="end"/>
      </w:r>
      <w:r w:rsidRPr="00B74333">
        <w:t xml:space="preserve"> </w:t>
      </w:r>
      <w:r w:rsidR="00B931AA" w:rsidRPr="00B74333">
        <w:t>The Binding Phase comprise</w:t>
      </w:r>
      <w:r w:rsidR="00A243A8" w:rsidRPr="00B74333">
        <w:t>s</w:t>
      </w:r>
      <w:r w:rsidR="00B931AA" w:rsidRPr="00B74333">
        <w:t xml:space="preserve"> the </w:t>
      </w:r>
      <w:r w:rsidR="00A637AD" w:rsidRPr="00B74333">
        <w:t xml:space="preserve">Information </w:t>
      </w:r>
      <w:r w:rsidR="00B931AA" w:rsidRPr="00B74333">
        <w:t xml:space="preserve">Phase and the </w:t>
      </w:r>
      <w:r w:rsidR="00A637AD" w:rsidRPr="00B74333">
        <w:t xml:space="preserve">Binding </w:t>
      </w:r>
      <w:r w:rsidR="00B931AA" w:rsidRPr="00B74333">
        <w:t>Bi</w:t>
      </w:r>
      <w:r w:rsidR="00CC66A2" w:rsidRPr="00B74333">
        <w:t>d</w:t>
      </w:r>
      <w:r w:rsidR="00B931AA" w:rsidRPr="00B74333">
        <w:t>ding Phase as per Article 5.</w:t>
      </w:r>
      <w:r w:rsidR="00573242" w:rsidRPr="00B74333">
        <w:t xml:space="preserve"> The exact timeline is presented in the table below</w:t>
      </w:r>
      <w:r w:rsidR="004B56A4" w:rsidRPr="00B74333">
        <w:t>.</w:t>
      </w:r>
    </w:p>
    <w:tbl>
      <w:tblPr>
        <w:tblW w:w="8638" w:type="dxa"/>
        <w:tblInd w:w="423" w:type="dxa"/>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CellMar>
          <w:left w:w="0" w:type="dxa"/>
          <w:right w:w="0" w:type="dxa"/>
        </w:tblCellMar>
        <w:tblLook w:val="0420" w:firstRow="1" w:lastRow="0" w:firstColumn="0" w:lastColumn="0" w:noHBand="0" w:noVBand="1"/>
      </w:tblPr>
      <w:tblGrid>
        <w:gridCol w:w="426"/>
        <w:gridCol w:w="4677"/>
        <w:gridCol w:w="3535"/>
      </w:tblGrid>
      <w:tr w:rsidR="00271EA8" w:rsidRPr="00B74333" w14:paraId="7AB8D13B" w14:textId="77777777" w:rsidTr="00260E0C">
        <w:trPr>
          <w:trHeight w:val="178"/>
          <w:tblHeader/>
        </w:trPr>
        <w:tc>
          <w:tcPr>
            <w:tcW w:w="426" w:type="dxa"/>
            <w:shd w:val="clear" w:color="auto" w:fill="139586"/>
          </w:tcPr>
          <w:p w14:paraId="685FC150" w14:textId="77777777" w:rsidR="00271EA8" w:rsidRPr="00B74333" w:rsidRDefault="00271EA8">
            <w:pPr>
              <w:spacing w:after="0" w:line="240" w:lineRule="auto"/>
              <w:jc w:val="center"/>
              <w:rPr>
                <w:rFonts w:cstheme="minorHAnsi"/>
                <w:b/>
                <w:color w:val="FFFFFF" w:themeColor="light1"/>
                <w:kern w:val="24"/>
              </w:rPr>
            </w:pPr>
          </w:p>
        </w:tc>
        <w:tc>
          <w:tcPr>
            <w:tcW w:w="4677" w:type="dxa"/>
            <w:shd w:val="clear" w:color="auto" w:fill="139586"/>
            <w:tcMar>
              <w:top w:w="72" w:type="dxa"/>
              <w:left w:w="144" w:type="dxa"/>
              <w:bottom w:w="72" w:type="dxa"/>
              <w:right w:w="144" w:type="dxa"/>
            </w:tcMar>
            <w:hideMark/>
          </w:tcPr>
          <w:p w14:paraId="3C87FCD2" w14:textId="77777777" w:rsidR="00271EA8" w:rsidRPr="00B74333" w:rsidRDefault="00271EA8">
            <w:pPr>
              <w:spacing w:after="0" w:line="240" w:lineRule="auto"/>
              <w:jc w:val="center"/>
              <w:rPr>
                <w:rFonts w:cstheme="minorHAnsi"/>
              </w:rPr>
            </w:pPr>
            <w:r w:rsidRPr="00B74333">
              <w:rPr>
                <w:rFonts w:cstheme="minorHAnsi"/>
                <w:b/>
                <w:color w:val="FFFFFF" w:themeColor="light1"/>
                <w:kern w:val="24"/>
              </w:rPr>
              <w:t>Milestones</w:t>
            </w:r>
          </w:p>
        </w:tc>
        <w:tc>
          <w:tcPr>
            <w:tcW w:w="3535" w:type="dxa"/>
            <w:shd w:val="clear" w:color="auto" w:fill="139586"/>
            <w:tcMar>
              <w:top w:w="72" w:type="dxa"/>
              <w:left w:w="144" w:type="dxa"/>
              <w:bottom w:w="72" w:type="dxa"/>
              <w:right w:w="144" w:type="dxa"/>
            </w:tcMar>
            <w:hideMark/>
          </w:tcPr>
          <w:p w14:paraId="47FAC733" w14:textId="77777777" w:rsidR="00271EA8" w:rsidRPr="00B74333" w:rsidRDefault="00271EA8">
            <w:pPr>
              <w:spacing w:after="0" w:line="240" w:lineRule="auto"/>
              <w:jc w:val="center"/>
              <w:rPr>
                <w:rFonts w:cstheme="minorHAnsi"/>
              </w:rPr>
            </w:pPr>
            <w:r w:rsidRPr="00B74333">
              <w:rPr>
                <w:rFonts w:cstheme="minorHAnsi"/>
                <w:b/>
                <w:color w:val="FFFFFF" w:themeColor="light1"/>
                <w:kern w:val="24"/>
              </w:rPr>
              <w:t>Dates</w:t>
            </w:r>
          </w:p>
        </w:tc>
      </w:tr>
      <w:tr w:rsidR="00271EA8" w:rsidRPr="00B74333" w14:paraId="7B344639" w14:textId="77777777" w:rsidTr="00260E0C">
        <w:trPr>
          <w:trHeight w:val="212"/>
        </w:trPr>
        <w:tc>
          <w:tcPr>
            <w:tcW w:w="426" w:type="dxa"/>
            <w:shd w:val="clear" w:color="auto" w:fill="FFFFFF" w:themeFill="background1"/>
          </w:tcPr>
          <w:p w14:paraId="1F3FBF3E" w14:textId="77777777" w:rsidR="00271EA8" w:rsidRPr="00B74333" w:rsidRDefault="00271EA8">
            <w:pPr>
              <w:spacing w:after="0" w:line="240" w:lineRule="auto"/>
              <w:ind w:left="134" w:right="1701"/>
              <w:jc w:val="center"/>
              <w:rPr>
                <w:rFonts w:cstheme="minorHAnsi"/>
                <w:kern w:val="24"/>
              </w:rPr>
            </w:pPr>
          </w:p>
        </w:tc>
        <w:tc>
          <w:tcPr>
            <w:tcW w:w="4677" w:type="dxa"/>
            <w:shd w:val="clear" w:color="auto" w:fill="FFFFFF" w:themeFill="background1"/>
            <w:tcMar>
              <w:top w:w="72" w:type="dxa"/>
              <w:left w:w="144" w:type="dxa"/>
              <w:bottom w:w="72" w:type="dxa"/>
              <w:right w:w="144" w:type="dxa"/>
            </w:tcMar>
            <w:hideMark/>
          </w:tcPr>
          <w:p w14:paraId="6B987C45" w14:textId="77777777" w:rsidR="00271EA8" w:rsidRPr="00B74333" w:rsidRDefault="00271EA8">
            <w:pPr>
              <w:spacing w:after="0" w:line="240" w:lineRule="auto"/>
              <w:ind w:left="134" w:right="1701"/>
              <w:rPr>
                <w:rFonts w:cstheme="minorHAnsi"/>
              </w:rPr>
            </w:pPr>
            <w:r w:rsidRPr="00B74333">
              <w:rPr>
                <w:rFonts w:cstheme="minorHAnsi"/>
                <w:kern w:val="24"/>
              </w:rPr>
              <w:t>Launch of Binding Phase / Publication of the Notice</w:t>
            </w:r>
          </w:p>
        </w:tc>
        <w:tc>
          <w:tcPr>
            <w:tcW w:w="3535" w:type="dxa"/>
            <w:shd w:val="clear" w:color="auto" w:fill="FFFFFF" w:themeFill="background1"/>
            <w:tcMar>
              <w:top w:w="72" w:type="dxa"/>
              <w:left w:w="144" w:type="dxa"/>
              <w:bottom w:w="72" w:type="dxa"/>
              <w:right w:w="144" w:type="dxa"/>
            </w:tcMar>
            <w:vAlign w:val="center"/>
            <w:hideMark/>
          </w:tcPr>
          <w:p w14:paraId="53E45F99" w14:textId="77777777" w:rsidR="00271EA8" w:rsidRPr="00B74333" w:rsidRDefault="00271EA8">
            <w:pPr>
              <w:spacing w:after="0" w:line="240" w:lineRule="auto"/>
              <w:jc w:val="center"/>
              <w:rPr>
                <w:rFonts w:cstheme="minorHAnsi"/>
              </w:rPr>
            </w:pPr>
            <w:r w:rsidRPr="00B74333">
              <w:rPr>
                <w:rFonts w:cstheme="minorHAnsi"/>
              </w:rPr>
              <w:t>2</w:t>
            </w:r>
            <w:r w:rsidRPr="00B74333">
              <w:rPr>
                <w:rFonts w:cstheme="minorHAnsi"/>
                <w:kern w:val="24"/>
              </w:rPr>
              <w:t xml:space="preserve"> May 2024</w:t>
            </w:r>
          </w:p>
        </w:tc>
      </w:tr>
      <w:tr w:rsidR="00271EA8" w:rsidRPr="00B74333" w14:paraId="4CD43BFD" w14:textId="77777777" w:rsidTr="00260E0C">
        <w:trPr>
          <w:trHeight w:val="124"/>
        </w:trPr>
        <w:tc>
          <w:tcPr>
            <w:tcW w:w="426" w:type="dxa"/>
            <w:shd w:val="clear" w:color="auto" w:fill="99F2E8"/>
          </w:tcPr>
          <w:p w14:paraId="1F76EA27" w14:textId="77777777" w:rsidR="00271EA8" w:rsidRPr="00B74333" w:rsidRDefault="00271EA8">
            <w:pPr>
              <w:suppressAutoHyphens/>
              <w:spacing w:after="0" w:line="240" w:lineRule="auto"/>
              <w:contextualSpacing/>
              <w:jc w:val="center"/>
              <w:rPr>
                <w:rFonts w:cstheme="minorHAnsi"/>
                <w:kern w:val="24"/>
              </w:rPr>
            </w:pPr>
            <w:r w:rsidRPr="00B74333">
              <w:rPr>
                <w:rFonts w:cstheme="minorHAnsi"/>
                <w:kern w:val="24"/>
              </w:rPr>
              <w:t>1</w:t>
            </w:r>
          </w:p>
        </w:tc>
        <w:tc>
          <w:tcPr>
            <w:tcW w:w="4677" w:type="dxa"/>
            <w:shd w:val="clear" w:color="auto" w:fill="99F2E8"/>
            <w:tcMar>
              <w:top w:w="72" w:type="dxa"/>
              <w:left w:w="144" w:type="dxa"/>
              <w:bottom w:w="72" w:type="dxa"/>
              <w:right w:w="144" w:type="dxa"/>
            </w:tcMar>
            <w:hideMark/>
          </w:tcPr>
          <w:p w14:paraId="30018DF2" w14:textId="77777777" w:rsidR="00271EA8" w:rsidRPr="00B74333" w:rsidRDefault="00271EA8">
            <w:pPr>
              <w:suppressAutoHyphens/>
              <w:spacing w:after="0" w:line="240" w:lineRule="auto"/>
              <w:ind w:left="417" w:hanging="278"/>
              <w:contextualSpacing/>
              <w:rPr>
                <w:rFonts w:cstheme="minorHAnsi"/>
              </w:rPr>
            </w:pPr>
            <w:r w:rsidRPr="00B74333">
              <w:rPr>
                <w:rFonts w:cstheme="minorHAnsi"/>
                <w:kern w:val="24"/>
              </w:rPr>
              <w:t>Information Phase</w:t>
            </w:r>
          </w:p>
        </w:tc>
        <w:tc>
          <w:tcPr>
            <w:tcW w:w="3535" w:type="dxa"/>
            <w:shd w:val="clear" w:color="auto" w:fill="99F2E8"/>
            <w:tcMar>
              <w:top w:w="72" w:type="dxa"/>
              <w:left w:w="144" w:type="dxa"/>
              <w:bottom w:w="72" w:type="dxa"/>
              <w:right w:w="144" w:type="dxa"/>
            </w:tcMar>
            <w:vAlign w:val="center"/>
            <w:hideMark/>
          </w:tcPr>
          <w:p w14:paraId="46AF4419" w14:textId="099BCBC1" w:rsidR="00271EA8" w:rsidRPr="00B74333" w:rsidRDefault="00271EA8">
            <w:pPr>
              <w:spacing w:after="0" w:line="240" w:lineRule="auto"/>
              <w:jc w:val="center"/>
              <w:rPr>
                <w:rFonts w:cstheme="minorHAnsi"/>
              </w:rPr>
            </w:pPr>
            <w:r w:rsidRPr="00B74333">
              <w:rPr>
                <w:rFonts w:cstheme="minorHAnsi"/>
              </w:rPr>
              <w:t>2</w:t>
            </w:r>
            <w:r w:rsidRPr="00B74333">
              <w:rPr>
                <w:rFonts w:cstheme="minorHAnsi"/>
                <w:kern w:val="24"/>
              </w:rPr>
              <w:t xml:space="preserve"> May 2024 </w:t>
            </w:r>
            <w:r w:rsidR="00AC71A6" w:rsidRPr="00B74333">
              <w:rPr>
                <w:rFonts w:cstheme="minorHAnsi"/>
                <w:kern w:val="24"/>
              </w:rPr>
              <w:t>–</w:t>
            </w:r>
            <w:r w:rsidRPr="00B74333">
              <w:rPr>
                <w:rFonts w:cstheme="minorHAnsi"/>
                <w:kern w:val="24"/>
              </w:rPr>
              <w:t xml:space="preserve"> 1 July 2024</w:t>
            </w:r>
          </w:p>
        </w:tc>
      </w:tr>
      <w:tr w:rsidR="00271EA8" w:rsidRPr="00B74333" w14:paraId="1E1BEDFB" w14:textId="77777777" w:rsidTr="00260E0C">
        <w:trPr>
          <w:trHeight w:val="124"/>
        </w:trPr>
        <w:tc>
          <w:tcPr>
            <w:tcW w:w="426" w:type="dxa"/>
            <w:shd w:val="clear" w:color="auto" w:fill="FFFFFF" w:themeFill="background1"/>
          </w:tcPr>
          <w:p w14:paraId="050E28A3"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0B39B2E2" w14:textId="77777777" w:rsidR="00271EA8" w:rsidRPr="00B74333" w:rsidRDefault="00271EA8">
            <w:pPr>
              <w:spacing w:after="0" w:line="240" w:lineRule="auto"/>
              <w:ind w:left="133"/>
              <w:rPr>
                <w:rFonts w:cstheme="minorHAnsi"/>
                <w:kern w:val="24"/>
              </w:rPr>
            </w:pPr>
            <w:r w:rsidRPr="00B74333">
              <w:rPr>
                <w:rFonts w:cstheme="minorHAnsi"/>
                <w:kern w:val="24"/>
              </w:rPr>
              <w:t xml:space="preserve">DESFA makes available a list of documentation to be submitted </w:t>
            </w:r>
          </w:p>
        </w:tc>
        <w:tc>
          <w:tcPr>
            <w:tcW w:w="3535" w:type="dxa"/>
            <w:shd w:val="clear" w:color="auto" w:fill="FFFFFF" w:themeFill="background1"/>
            <w:tcMar>
              <w:top w:w="72" w:type="dxa"/>
              <w:left w:w="144" w:type="dxa"/>
              <w:bottom w:w="72" w:type="dxa"/>
              <w:right w:w="144" w:type="dxa"/>
            </w:tcMar>
            <w:vAlign w:val="center"/>
          </w:tcPr>
          <w:p w14:paraId="3F904E62" w14:textId="77777777" w:rsidR="00271EA8" w:rsidRPr="00B74333" w:rsidRDefault="00271EA8">
            <w:pPr>
              <w:spacing w:after="0" w:line="240" w:lineRule="auto"/>
              <w:jc w:val="center"/>
              <w:rPr>
                <w:rFonts w:cstheme="minorHAnsi"/>
                <w:kern w:val="24"/>
              </w:rPr>
            </w:pPr>
            <w:r w:rsidRPr="00B74333">
              <w:rPr>
                <w:rFonts w:cstheme="minorHAnsi"/>
              </w:rPr>
              <w:t>2</w:t>
            </w:r>
            <w:r w:rsidRPr="00B74333">
              <w:rPr>
                <w:rFonts w:cstheme="minorHAnsi"/>
                <w:kern w:val="24"/>
              </w:rPr>
              <w:t xml:space="preserve"> May 2024</w:t>
            </w:r>
          </w:p>
        </w:tc>
      </w:tr>
      <w:tr w:rsidR="00271EA8" w:rsidRPr="00B74333" w14:paraId="307F668A" w14:textId="77777777" w:rsidTr="00260E0C">
        <w:trPr>
          <w:trHeight w:val="124"/>
        </w:trPr>
        <w:tc>
          <w:tcPr>
            <w:tcW w:w="426" w:type="dxa"/>
            <w:shd w:val="clear" w:color="auto" w:fill="FFFFFF" w:themeFill="background1"/>
          </w:tcPr>
          <w:p w14:paraId="30856AA2"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0958A864" w14:textId="77777777" w:rsidR="00271EA8" w:rsidRPr="00B74333" w:rsidRDefault="00271EA8">
            <w:pPr>
              <w:spacing w:after="0" w:line="240" w:lineRule="auto"/>
              <w:ind w:left="417" w:hanging="278"/>
              <w:rPr>
                <w:rFonts w:cstheme="minorHAnsi"/>
                <w:kern w:val="24"/>
              </w:rPr>
            </w:pPr>
            <w:r w:rsidRPr="00B74333">
              <w:rPr>
                <w:rFonts w:cstheme="minorHAnsi"/>
                <w:kern w:val="24"/>
              </w:rPr>
              <w:t>Registration Period</w:t>
            </w:r>
          </w:p>
        </w:tc>
        <w:tc>
          <w:tcPr>
            <w:tcW w:w="3535" w:type="dxa"/>
            <w:shd w:val="clear" w:color="auto" w:fill="FFFFFF" w:themeFill="background1"/>
            <w:tcMar>
              <w:top w:w="72" w:type="dxa"/>
              <w:left w:w="144" w:type="dxa"/>
              <w:bottom w:w="72" w:type="dxa"/>
              <w:right w:w="144" w:type="dxa"/>
            </w:tcMar>
            <w:vAlign w:val="center"/>
          </w:tcPr>
          <w:p w14:paraId="2940A825" w14:textId="38E45479" w:rsidR="00271EA8" w:rsidRPr="00B74333" w:rsidRDefault="00271EA8">
            <w:pPr>
              <w:spacing w:after="0" w:line="240" w:lineRule="auto"/>
              <w:jc w:val="center"/>
              <w:rPr>
                <w:rFonts w:cstheme="minorHAnsi"/>
                <w:kern w:val="24"/>
              </w:rPr>
            </w:pPr>
            <w:r w:rsidRPr="00B74333">
              <w:rPr>
                <w:rFonts w:cstheme="minorHAnsi"/>
                <w:kern w:val="24"/>
              </w:rPr>
              <w:t>2</w:t>
            </w:r>
            <w:r w:rsidRPr="00B74333">
              <w:rPr>
                <w:rFonts w:cstheme="minorHAnsi"/>
              </w:rPr>
              <w:t xml:space="preserve"> </w:t>
            </w:r>
            <w:r w:rsidRPr="00B74333">
              <w:rPr>
                <w:rFonts w:cstheme="minorHAnsi"/>
                <w:kern w:val="24"/>
              </w:rPr>
              <w:t xml:space="preserve">May </w:t>
            </w:r>
            <w:r w:rsidR="00AC71A6" w:rsidRPr="00B74333">
              <w:rPr>
                <w:rFonts w:cstheme="minorHAnsi"/>
                <w:kern w:val="24"/>
              </w:rPr>
              <w:t xml:space="preserve">– </w:t>
            </w:r>
            <w:r w:rsidRPr="00B74333">
              <w:rPr>
                <w:rFonts w:cstheme="minorHAnsi"/>
                <w:kern w:val="24"/>
              </w:rPr>
              <w:t>24 June 2024</w:t>
            </w:r>
          </w:p>
        </w:tc>
      </w:tr>
      <w:tr w:rsidR="00271EA8" w:rsidRPr="00B74333" w14:paraId="35C8C745" w14:textId="77777777" w:rsidTr="00260E0C">
        <w:trPr>
          <w:trHeight w:val="124"/>
        </w:trPr>
        <w:tc>
          <w:tcPr>
            <w:tcW w:w="426" w:type="dxa"/>
            <w:shd w:val="clear" w:color="auto" w:fill="FFFFFF" w:themeFill="background1"/>
          </w:tcPr>
          <w:p w14:paraId="228D8078"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2986483F" w14:textId="77777777" w:rsidR="00271EA8" w:rsidRPr="00B74333" w:rsidRDefault="00271EA8">
            <w:pPr>
              <w:spacing w:after="0" w:line="240" w:lineRule="auto"/>
              <w:ind w:left="417" w:hanging="278"/>
              <w:rPr>
                <w:rFonts w:cstheme="minorHAnsi"/>
                <w:kern w:val="24"/>
              </w:rPr>
            </w:pPr>
            <w:r w:rsidRPr="00B74333">
              <w:rPr>
                <w:rFonts w:cstheme="minorHAnsi"/>
                <w:kern w:val="24"/>
              </w:rPr>
              <w:t>DESFA evaluates the applicants’ eligibility</w:t>
            </w:r>
          </w:p>
        </w:tc>
        <w:tc>
          <w:tcPr>
            <w:tcW w:w="3535" w:type="dxa"/>
            <w:shd w:val="clear" w:color="auto" w:fill="FFFFFF" w:themeFill="background1"/>
            <w:tcMar>
              <w:top w:w="72" w:type="dxa"/>
              <w:left w:w="144" w:type="dxa"/>
              <w:bottom w:w="72" w:type="dxa"/>
              <w:right w:w="144" w:type="dxa"/>
            </w:tcMar>
            <w:vAlign w:val="center"/>
          </w:tcPr>
          <w:p w14:paraId="1F8E6BC2" w14:textId="77777777" w:rsidR="00271EA8" w:rsidRPr="00B74333" w:rsidRDefault="00271EA8">
            <w:pPr>
              <w:spacing w:after="0" w:line="240" w:lineRule="auto"/>
              <w:jc w:val="center"/>
              <w:rPr>
                <w:rFonts w:cstheme="minorHAnsi"/>
                <w:kern w:val="24"/>
              </w:rPr>
            </w:pPr>
            <w:r w:rsidRPr="00B74333">
              <w:rPr>
                <w:rFonts w:cstheme="minorHAnsi"/>
                <w:kern w:val="24"/>
              </w:rPr>
              <w:t xml:space="preserve">25 June – </w:t>
            </w:r>
            <w:r w:rsidRPr="00B74333">
              <w:rPr>
                <w:rFonts w:cstheme="minorHAnsi"/>
              </w:rPr>
              <w:t xml:space="preserve">01 </w:t>
            </w:r>
            <w:r w:rsidRPr="00B74333">
              <w:rPr>
                <w:rFonts w:cstheme="minorHAnsi"/>
                <w:kern w:val="24"/>
              </w:rPr>
              <w:t>July 2024</w:t>
            </w:r>
          </w:p>
        </w:tc>
      </w:tr>
      <w:tr w:rsidR="00271EA8" w:rsidRPr="00B74333" w14:paraId="17C554C6" w14:textId="77777777" w:rsidTr="00260E0C">
        <w:trPr>
          <w:trHeight w:val="300"/>
        </w:trPr>
        <w:tc>
          <w:tcPr>
            <w:tcW w:w="426" w:type="dxa"/>
            <w:shd w:val="clear" w:color="auto" w:fill="99F2E8"/>
          </w:tcPr>
          <w:p w14:paraId="72917B14" w14:textId="77777777" w:rsidR="00271EA8" w:rsidRPr="00B74333" w:rsidRDefault="00271EA8">
            <w:pPr>
              <w:suppressAutoHyphens/>
              <w:spacing w:after="0" w:line="240" w:lineRule="auto"/>
              <w:contextualSpacing/>
              <w:jc w:val="center"/>
              <w:rPr>
                <w:rFonts w:cstheme="minorHAnsi"/>
                <w:kern w:val="24"/>
              </w:rPr>
            </w:pPr>
            <w:r w:rsidRPr="00B74333">
              <w:rPr>
                <w:rFonts w:cstheme="minorHAnsi"/>
                <w:kern w:val="24"/>
              </w:rPr>
              <w:t>2</w:t>
            </w:r>
          </w:p>
        </w:tc>
        <w:tc>
          <w:tcPr>
            <w:tcW w:w="4677" w:type="dxa"/>
            <w:shd w:val="clear" w:color="auto" w:fill="99F2E8"/>
            <w:tcMar>
              <w:top w:w="72" w:type="dxa"/>
              <w:left w:w="144" w:type="dxa"/>
              <w:bottom w:w="72" w:type="dxa"/>
              <w:right w:w="144" w:type="dxa"/>
            </w:tcMar>
          </w:tcPr>
          <w:p w14:paraId="522BA660" w14:textId="77777777" w:rsidR="00271EA8" w:rsidRPr="00B74333" w:rsidRDefault="00271EA8">
            <w:pPr>
              <w:suppressAutoHyphens/>
              <w:spacing w:after="0" w:line="240" w:lineRule="auto"/>
              <w:ind w:left="417" w:hanging="278"/>
              <w:contextualSpacing/>
              <w:rPr>
                <w:rFonts w:cstheme="minorHAnsi"/>
                <w:color w:val="000000" w:themeColor="dark1"/>
                <w:kern w:val="24"/>
              </w:rPr>
            </w:pPr>
            <w:r w:rsidRPr="00B74333">
              <w:rPr>
                <w:rFonts w:cstheme="minorHAnsi"/>
                <w:kern w:val="24"/>
              </w:rPr>
              <w:t xml:space="preserve">Binding Bidding Phase </w:t>
            </w:r>
          </w:p>
        </w:tc>
        <w:tc>
          <w:tcPr>
            <w:tcW w:w="3535" w:type="dxa"/>
            <w:shd w:val="clear" w:color="auto" w:fill="99F2E8"/>
            <w:tcMar>
              <w:top w:w="72" w:type="dxa"/>
              <w:left w:w="144" w:type="dxa"/>
              <w:bottom w:w="72" w:type="dxa"/>
              <w:right w:w="144" w:type="dxa"/>
            </w:tcMar>
            <w:vAlign w:val="center"/>
          </w:tcPr>
          <w:p w14:paraId="6F9A914E" w14:textId="77777777" w:rsidR="00271EA8" w:rsidRPr="00B74333" w:rsidRDefault="00271EA8">
            <w:pPr>
              <w:spacing w:after="0" w:line="240" w:lineRule="auto"/>
              <w:jc w:val="center"/>
              <w:rPr>
                <w:rFonts w:cstheme="minorHAnsi"/>
                <w:color w:val="000000" w:themeColor="dark1"/>
                <w:kern w:val="24"/>
              </w:rPr>
            </w:pPr>
            <w:r w:rsidRPr="00B74333">
              <w:rPr>
                <w:rFonts w:cstheme="minorHAnsi"/>
                <w:kern w:val="24"/>
              </w:rPr>
              <w:t>2</w:t>
            </w:r>
            <w:r w:rsidRPr="00B74333">
              <w:rPr>
                <w:rFonts w:cstheme="minorHAnsi"/>
              </w:rPr>
              <w:t xml:space="preserve"> </w:t>
            </w:r>
            <w:r w:rsidRPr="00B74333">
              <w:rPr>
                <w:rFonts w:cstheme="minorHAnsi"/>
                <w:kern w:val="24"/>
              </w:rPr>
              <w:t>July – 30 September 2024</w:t>
            </w:r>
          </w:p>
        </w:tc>
      </w:tr>
      <w:tr w:rsidR="00271EA8" w:rsidRPr="00B74333" w14:paraId="566E6498" w14:textId="77777777" w:rsidTr="00260E0C">
        <w:trPr>
          <w:trHeight w:val="300"/>
        </w:trPr>
        <w:tc>
          <w:tcPr>
            <w:tcW w:w="426" w:type="dxa"/>
            <w:shd w:val="clear" w:color="auto" w:fill="FFFFFF" w:themeFill="background1"/>
          </w:tcPr>
          <w:p w14:paraId="0851F817"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4BA73AC2" w14:textId="77777777" w:rsidR="00271EA8" w:rsidRPr="00B74333" w:rsidRDefault="00271EA8">
            <w:pPr>
              <w:spacing w:after="0" w:line="240" w:lineRule="auto"/>
              <w:ind w:left="417" w:hanging="278"/>
              <w:rPr>
                <w:rFonts w:cstheme="minorHAnsi"/>
                <w:kern w:val="24"/>
              </w:rPr>
            </w:pPr>
            <w:r w:rsidRPr="00B74333">
              <w:rPr>
                <w:rFonts w:cstheme="minorHAnsi"/>
                <w:kern w:val="24"/>
              </w:rPr>
              <w:t>Bid Submission Window</w:t>
            </w:r>
          </w:p>
        </w:tc>
        <w:tc>
          <w:tcPr>
            <w:tcW w:w="3535" w:type="dxa"/>
            <w:shd w:val="clear" w:color="auto" w:fill="FFFFFF" w:themeFill="background1"/>
            <w:tcMar>
              <w:top w:w="72" w:type="dxa"/>
              <w:left w:w="144" w:type="dxa"/>
              <w:bottom w:w="72" w:type="dxa"/>
              <w:right w:w="144" w:type="dxa"/>
            </w:tcMar>
            <w:vAlign w:val="center"/>
          </w:tcPr>
          <w:p w14:paraId="69860B5A" w14:textId="2A8989FD" w:rsidR="00271EA8" w:rsidRPr="00B74333" w:rsidRDefault="00271EA8">
            <w:pPr>
              <w:spacing w:after="0" w:line="240" w:lineRule="auto"/>
              <w:jc w:val="center"/>
              <w:rPr>
                <w:rFonts w:cstheme="minorHAnsi"/>
                <w:kern w:val="24"/>
              </w:rPr>
            </w:pPr>
            <w:r w:rsidRPr="00B74333">
              <w:rPr>
                <w:rFonts w:eastAsia="Times New Roman" w:cstheme="minorHAnsi"/>
                <w:kern w:val="24"/>
              </w:rPr>
              <w:t>2</w:t>
            </w:r>
            <w:r w:rsidRPr="00B74333">
              <w:rPr>
                <w:rFonts w:eastAsia="Times New Roman" w:cstheme="minorHAnsi"/>
              </w:rPr>
              <w:t xml:space="preserve"> </w:t>
            </w:r>
            <w:r w:rsidRPr="00B74333">
              <w:rPr>
                <w:rFonts w:eastAsia="Times New Roman" w:cstheme="minorHAnsi"/>
                <w:kern w:val="24"/>
              </w:rPr>
              <w:t xml:space="preserve">July </w:t>
            </w:r>
            <w:r w:rsidR="00AC71A6" w:rsidRPr="00B74333">
              <w:rPr>
                <w:rFonts w:cstheme="minorHAnsi"/>
                <w:kern w:val="24"/>
              </w:rPr>
              <w:t>–</w:t>
            </w:r>
            <w:r w:rsidRPr="00B74333">
              <w:rPr>
                <w:rFonts w:eastAsia="Times New Roman" w:cstheme="minorHAnsi"/>
                <w:kern w:val="24"/>
              </w:rPr>
              <w:t xml:space="preserve"> </w:t>
            </w:r>
            <w:r w:rsidRPr="00B74333">
              <w:rPr>
                <w:rFonts w:eastAsia="Times New Roman" w:cstheme="minorHAnsi"/>
              </w:rPr>
              <w:t>12</w:t>
            </w:r>
            <w:r w:rsidRPr="00B74333">
              <w:rPr>
                <w:rFonts w:cstheme="minorHAnsi"/>
                <w:kern w:val="24"/>
              </w:rPr>
              <w:t xml:space="preserve"> July 2024</w:t>
            </w:r>
          </w:p>
        </w:tc>
      </w:tr>
      <w:tr w:rsidR="00271EA8" w:rsidRPr="00B74333" w14:paraId="16BB5BB7" w14:textId="77777777" w:rsidTr="00260E0C">
        <w:trPr>
          <w:trHeight w:val="300"/>
        </w:trPr>
        <w:tc>
          <w:tcPr>
            <w:tcW w:w="426" w:type="dxa"/>
            <w:shd w:val="clear" w:color="auto" w:fill="FFFFFF" w:themeFill="background1"/>
          </w:tcPr>
          <w:p w14:paraId="64160072"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3B1BFE77" w14:textId="77777777" w:rsidR="00271EA8" w:rsidRPr="00B74333" w:rsidRDefault="00271EA8">
            <w:pPr>
              <w:spacing w:after="0" w:line="240" w:lineRule="auto"/>
              <w:ind w:left="417" w:hanging="278"/>
              <w:rPr>
                <w:rFonts w:cstheme="minorHAnsi"/>
                <w:kern w:val="24"/>
              </w:rPr>
            </w:pPr>
            <w:r w:rsidRPr="00B74333">
              <w:rPr>
                <w:rFonts w:cstheme="minorHAnsi"/>
                <w:kern w:val="24"/>
              </w:rPr>
              <w:t>Bid Evaluation Period</w:t>
            </w:r>
          </w:p>
        </w:tc>
        <w:tc>
          <w:tcPr>
            <w:tcW w:w="3535" w:type="dxa"/>
            <w:shd w:val="clear" w:color="auto" w:fill="FFFFFF" w:themeFill="background1"/>
            <w:tcMar>
              <w:top w:w="72" w:type="dxa"/>
              <w:left w:w="144" w:type="dxa"/>
              <w:bottom w:w="72" w:type="dxa"/>
              <w:right w:w="144" w:type="dxa"/>
            </w:tcMar>
            <w:vAlign w:val="center"/>
          </w:tcPr>
          <w:p w14:paraId="3BFDE808" w14:textId="77777777" w:rsidR="00271EA8" w:rsidRPr="00B74333" w:rsidRDefault="00271EA8">
            <w:pPr>
              <w:spacing w:after="0" w:line="240" w:lineRule="auto"/>
              <w:jc w:val="center"/>
              <w:rPr>
                <w:rFonts w:cstheme="minorHAnsi"/>
                <w:kern w:val="24"/>
              </w:rPr>
            </w:pPr>
            <w:r w:rsidRPr="00B74333">
              <w:rPr>
                <w:rFonts w:cstheme="minorHAnsi"/>
              </w:rPr>
              <w:t xml:space="preserve">12 </w:t>
            </w:r>
            <w:r w:rsidRPr="00B74333">
              <w:rPr>
                <w:rFonts w:eastAsia="Times New Roman" w:cstheme="minorHAnsi"/>
                <w:kern w:val="24"/>
              </w:rPr>
              <w:t xml:space="preserve">July </w:t>
            </w:r>
            <w:r w:rsidRPr="00B74333">
              <w:rPr>
                <w:rFonts w:cstheme="minorHAnsi"/>
                <w:kern w:val="24"/>
              </w:rPr>
              <w:t>– 31 July 2024</w:t>
            </w:r>
          </w:p>
        </w:tc>
      </w:tr>
      <w:tr w:rsidR="00271EA8" w:rsidRPr="00B74333" w14:paraId="562B94F3" w14:textId="77777777" w:rsidTr="00260E0C">
        <w:trPr>
          <w:trHeight w:val="300"/>
        </w:trPr>
        <w:tc>
          <w:tcPr>
            <w:tcW w:w="426" w:type="dxa"/>
            <w:shd w:val="clear" w:color="auto" w:fill="FFFFFF" w:themeFill="background1"/>
          </w:tcPr>
          <w:p w14:paraId="2CBA4908"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019091AD" w14:textId="77777777" w:rsidR="00271EA8" w:rsidRPr="00B74333" w:rsidRDefault="00271EA8">
            <w:pPr>
              <w:spacing w:after="0" w:line="240" w:lineRule="auto"/>
              <w:ind w:left="417" w:hanging="278"/>
              <w:rPr>
                <w:rFonts w:cstheme="minorHAnsi"/>
                <w:kern w:val="24"/>
              </w:rPr>
            </w:pPr>
            <w:r w:rsidRPr="00B74333">
              <w:rPr>
                <w:rFonts w:cstheme="minorHAnsi"/>
                <w:kern w:val="24"/>
              </w:rPr>
              <w:t>Preliminary Capacity Allocation</w:t>
            </w:r>
          </w:p>
        </w:tc>
        <w:tc>
          <w:tcPr>
            <w:tcW w:w="3535" w:type="dxa"/>
            <w:shd w:val="clear" w:color="auto" w:fill="FFFFFF" w:themeFill="background1"/>
            <w:tcMar>
              <w:top w:w="72" w:type="dxa"/>
              <w:left w:w="144" w:type="dxa"/>
              <w:bottom w:w="72" w:type="dxa"/>
              <w:right w:w="144" w:type="dxa"/>
            </w:tcMar>
            <w:vAlign w:val="center"/>
          </w:tcPr>
          <w:p w14:paraId="22313E31" w14:textId="77777777" w:rsidR="00271EA8" w:rsidRPr="00B74333" w:rsidRDefault="00271EA8">
            <w:pPr>
              <w:spacing w:after="0" w:line="240" w:lineRule="auto"/>
              <w:jc w:val="center"/>
              <w:rPr>
                <w:rFonts w:cstheme="minorHAnsi"/>
                <w:kern w:val="24"/>
              </w:rPr>
            </w:pPr>
            <w:r w:rsidRPr="00B74333">
              <w:rPr>
                <w:rFonts w:cstheme="minorHAnsi"/>
                <w:kern w:val="24"/>
              </w:rPr>
              <w:t xml:space="preserve">1 </w:t>
            </w:r>
            <w:r w:rsidRPr="00B74333">
              <w:rPr>
                <w:rFonts w:eastAsia="Times New Roman" w:cstheme="minorHAnsi"/>
                <w:kern w:val="24"/>
              </w:rPr>
              <w:t xml:space="preserve">August </w:t>
            </w:r>
            <w:r w:rsidRPr="00B74333">
              <w:rPr>
                <w:rFonts w:cstheme="minorHAnsi"/>
                <w:kern w:val="24"/>
              </w:rPr>
              <w:t>- 30 August 2024</w:t>
            </w:r>
          </w:p>
        </w:tc>
      </w:tr>
      <w:tr w:rsidR="00271EA8" w:rsidRPr="00B74333" w14:paraId="2BE7FFD1" w14:textId="77777777" w:rsidTr="00260E0C">
        <w:trPr>
          <w:trHeight w:val="300"/>
        </w:trPr>
        <w:tc>
          <w:tcPr>
            <w:tcW w:w="426" w:type="dxa"/>
            <w:shd w:val="clear" w:color="auto" w:fill="FFFFFF" w:themeFill="background1"/>
          </w:tcPr>
          <w:p w14:paraId="60FE07A1" w14:textId="77777777" w:rsidR="00271EA8" w:rsidRPr="00B74333" w:rsidRDefault="00271EA8">
            <w:pPr>
              <w:spacing w:after="0" w:line="240" w:lineRule="auto"/>
              <w:ind w:left="417"/>
              <w:jc w:val="center"/>
              <w:rPr>
                <w:rFonts w:cstheme="minorHAnsi"/>
                <w:kern w:val="24"/>
              </w:rPr>
            </w:pPr>
          </w:p>
        </w:tc>
        <w:tc>
          <w:tcPr>
            <w:tcW w:w="4677" w:type="dxa"/>
            <w:shd w:val="clear" w:color="auto" w:fill="FFFFFF" w:themeFill="background1"/>
            <w:tcMar>
              <w:top w:w="72" w:type="dxa"/>
              <w:left w:w="144" w:type="dxa"/>
              <w:bottom w:w="72" w:type="dxa"/>
              <w:right w:w="144" w:type="dxa"/>
            </w:tcMar>
          </w:tcPr>
          <w:p w14:paraId="0C778974" w14:textId="77777777" w:rsidR="00271EA8" w:rsidRPr="00B74333" w:rsidRDefault="00271EA8">
            <w:pPr>
              <w:spacing w:after="0" w:line="240" w:lineRule="auto"/>
              <w:ind w:left="417" w:hanging="278"/>
              <w:rPr>
                <w:rFonts w:cstheme="minorHAnsi"/>
                <w:kern w:val="24"/>
              </w:rPr>
            </w:pPr>
            <w:r w:rsidRPr="00B74333">
              <w:rPr>
                <w:rFonts w:cstheme="minorHAnsi"/>
                <w:kern w:val="24"/>
              </w:rPr>
              <w:t>Economic Viability Test Results published</w:t>
            </w:r>
          </w:p>
        </w:tc>
        <w:tc>
          <w:tcPr>
            <w:tcW w:w="3535" w:type="dxa"/>
            <w:shd w:val="clear" w:color="auto" w:fill="FFFFFF" w:themeFill="background1"/>
            <w:tcMar>
              <w:top w:w="72" w:type="dxa"/>
              <w:left w:w="144" w:type="dxa"/>
              <w:bottom w:w="72" w:type="dxa"/>
              <w:right w:w="144" w:type="dxa"/>
            </w:tcMar>
            <w:vAlign w:val="center"/>
          </w:tcPr>
          <w:p w14:paraId="60E0D213" w14:textId="77777777" w:rsidR="00271EA8" w:rsidRPr="00B74333" w:rsidRDefault="00271EA8">
            <w:pPr>
              <w:spacing w:after="0" w:line="240" w:lineRule="auto"/>
              <w:jc w:val="center"/>
              <w:rPr>
                <w:rFonts w:cstheme="minorHAnsi"/>
                <w:kern w:val="24"/>
              </w:rPr>
            </w:pPr>
            <w:r w:rsidRPr="00B74333">
              <w:rPr>
                <w:rFonts w:cstheme="minorHAnsi"/>
                <w:kern w:val="24"/>
              </w:rPr>
              <w:t>31 August 2024</w:t>
            </w:r>
          </w:p>
        </w:tc>
      </w:tr>
      <w:tr w:rsidR="00271EA8" w:rsidRPr="00B74333" w14:paraId="25F255B0" w14:textId="77777777" w:rsidTr="00260E0C">
        <w:trPr>
          <w:trHeight w:val="300"/>
        </w:trPr>
        <w:tc>
          <w:tcPr>
            <w:tcW w:w="426" w:type="dxa"/>
            <w:shd w:val="clear" w:color="auto" w:fill="99F2E8"/>
          </w:tcPr>
          <w:p w14:paraId="7E4DB164" w14:textId="77777777" w:rsidR="00271EA8" w:rsidRPr="00B74333" w:rsidRDefault="00271EA8">
            <w:pPr>
              <w:suppressAutoHyphens/>
              <w:spacing w:after="0" w:line="240" w:lineRule="auto"/>
              <w:contextualSpacing/>
              <w:jc w:val="center"/>
              <w:rPr>
                <w:rFonts w:cstheme="minorHAnsi"/>
                <w:kern w:val="24"/>
              </w:rPr>
            </w:pPr>
            <w:r w:rsidRPr="00B74333">
              <w:rPr>
                <w:rFonts w:cstheme="minorHAnsi"/>
                <w:kern w:val="24"/>
              </w:rPr>
              <w:t>3</w:t>
            </w:r>
          </w:p>
        </w:tc>
        <w:tc>
          <w:tcPr>
            <w:tcW w:w="4677" w:type="dxa"/>
            <w:shd w:val="clear" w:color="auto" w:fill="99F2E8"/>
            <w:tcMar>
              <w:top w:w="72" w:type="dxa"/>
              <w:left w:w="144" w:type="dxa"/>
              <w:bottom w:w="72" w:type="dxa"/>
              <w:right w:w="144" w:type="dxa"/>
            </w:tcMar>
          </w:tcPr>
          <w:p w14:paraId="059B3993" w14:textId="77777777" w:rsidR="00271EA8" w:rsidRPr="00B74333" w:rsidRDefault="00271EA8">
            <w:pPr>
              <w:suppressAutoHyphens/>
              <w:spacing w:after="0" w:line="240" w:lineRule="auto"/>
              <w:ind w:left="417" w:hanging="278"/>
              <w:contextualSpacing/>
              <w:rPr>
                <w:rFonts w:cstheme="minorHAnsi"/>
                <w:kern w:val="24"/>
              </w:rPr>
            </w:pPr>
            <w:r w:rsidRPr="00B74333">
              <w:rPr>
                <w:rFonts w:cstheme="minorHAnsi"/>
                <w:kern w:val="24"/>
              </w:rPr>
              <w:t>Capacity Allocation</w:t>
            </w:r>
          </w:p>
        </w:tc>
        <w:tc>
          <w:tcPr>
            <w:tcW w:w="3535" w:type="dxa"/>
            <w:shd w:val="clear" w:color="auto" w:fill="99F2E8"/>
            <w:tcMar>
              <w:top w:w="72" w:type="dxa"/>
              <w:left w:w="144" w:type="dxa"/>
              <w:bottom w:w="72" w:type="dxa"/>
              <w:right w:w="144" w:type="dxa"/>
            </w:tcMar>
            <w:vAlign w:val="center"/>
          </w:tcPr>
          <w:p w14:paraId="2EFC73C7" w14:textId="77777777" w:rsidR="00271EA8" w:rsidRPr="00B74333" w:rsidRDefault="00271EA8">
            <w:pPr>
              <w:spacing w:after="0" w:line="240" w:lineRule="auto"/>
              <w:jc w:val="center"/>
              <w:rPr>
                <w:rFonts w:cstheme="minorHAnsi"/>
                <w:kern w:val="24"/>
              </w:rPr>
            </w:pPr>
            <w:r w:rsidRPr="00B74333">
              <w:rPr>
                <w:rFonts w:cstheme="minorHAnsi"/>
                <w:kern w:val="24"/>
              </w:rPr>
              <w:t>31 August 2024</w:t>
            </w:r>
          </w:p>
        </w:tc>
      </w:tr>
      <w:tr w:rsidR="00271EA8" w:rsidRPr="00B74333" w14:paraId="1FEC5B71" w14:textId="77777777" w:rsidTr="00260E0C">
        <w:trPr>
          <w:trHeight w:val="160"/>
        </w:trPr>
        <w:tc>
          <w:tcPr>
            <w:tcW w:w="426" w:type="dxa"/>
            <w:shd w:val="clear" w:color="auto" w:fill="99F2E8"/>
          </w:tcPr>
          <w:p w14:paraId="5CCE03D9" w14:textId="77777777" w:rsidR="00271EA8" w:rsidRPr="00B74333" w:rsidRDefault="00271EA8">
            <w:pPr>
              <w:suppressAutoHyphens/>
              <w:spacing w:after="0" w:line="240" w:lineRule="auto"/>
              <w:contextualSpacing/>
              <w:jc w:val="center"/>
              <w:rPr>
                <w:rFonts w:cstheme="minorHAnsi"/>
                <w:kern w:val="24"/>
              </w:rPr>
            </w:pPr>
            <w:r w:rsidRPr="00B74333">
              <w:rPr>
                <w:rFonts w:cstheme="minorHAnsi"/>
                <w:kern w:val="24"/>
              </w:rPr>
              <w:lastRenderedPageBreak/>
              <w:t>4</w:t>
            </w:r>
          </w:p>
        </w:tc>
        <w:tc>
          <w:tcPr>
            <w:tcW w:w="4677" w:type="dxa"/>
            <w:shd w:val="clear" w:color="auto" w:fill="99F2E8"/>
            <w:tcMar>
              <w:top w:w="72" w:type="dxa"/>
              <w:left w:w="144" w:type="dxa"/>
              <w:bottom w:w="72" w:type="dxa"/>
              <w:right w:w="144" w:type="dxa"/>
            </w:tcMar>
            <w:hideMark/>
          </w:tcPr>
          <w:p w14:paraId="66767D89" w14:textId="77777777" w:rsidR="00271EA8" w:rsidRPr="00B74333" w:rsidRDefault="00271EA8">
            <w:pPr>
              <w:suppressAutoHyphens/>
              <w:spacing w:after="0" w:line="240" w:lineRule="auto"/>
              <w:ind w:left="417" w:hanging="278"/>
              <w:contextualSpacing/>
              <w:rPr>
                <w:rFonts w:cstheme="minorHAnsi"/>
                <w:kern w:val="24"/>
              </w:rPr>
            </w:pPr>
            <w:r w:rsidRPr="00B74333">
              <w:rPr>
                <w:rFonts w:cstheme="minorHAnsi"/>
                <w:kern w:val="24"/>
              </w:rPr>
              <w:t xml:space="preserve">Execution of GTAs </w:t>
            </w:r>
          </w:p>
        </w:tc>
        <w:tc>
          <w:tcPr>
            <w:tcW w:w="3535" w:type="dxa"/>
            <w:shd w:val="clear" w:color="auto" w:fill="99F2E8"/>
            <w:tcMar>
              <w:top w:w="72" w:type="dxa"/>
              <w:left w:w="144" w:type="dxa"/>
              <w:bottom w:w="72" w:type="dxa"/>
              <w:right w:w="144" w:type="dxa"/>
            </w:tcMar>
            <w:vAlign w:val="center"/>
            <w:hideMark/>
          </w:tcPr>
          <w:p w14:paraId="6ABAEB93" w14:textId="77777777" w:rsidR="00271EA8" w:rsidRPr="00B74333" w:rsidRDefault="00271EA8">
            <w:pPr>
              <w:spacing w:after="0" w:line="240" w:lineRule="auto"/>
              <w:jc w:val="center"/>
              <w:rPr>
                <w:rFonts w:cstheme="minorHAnsi"/>
                <w:kern w:val="24"/>
              </w:rPr>
            </w:pPr>
            <w:r w:rsidRPr="00B74333">
              <w:rPr>
                <w:rFonts w:cstheme="minorHAnsi"/>
                <w:kern w:val="24"/>
              </w:rPr>
              <w:t>30 September 2024</w:t>
            </w:r>
          </w:p>
        </w:tc>
      </w:tr>
    </w:tbl>
    <w:p w14:paraId="0CF31992" w14:textId="1610717D" w:rsidR="007D34C4" w:rsidRPr="00B74333" w:rsidRDefault="007D34C4" w:rsidP="00260E0C">
      <w:pPr>
        <w:widowControl w:val="0"/>
        <w:suppressAutoHyphens/>
        <w:spacing w:after="120" w:line="360" w:lineRule="auto"/>
        <w:jc w:val="both"/>
        <w:rPr>
          <w:rFonts w:cstheme="minorHAnsi"/>
        </w:rPr>
      </w:pPr>
    </w:p>
    <w:p w14:paraId="1F40193E" w14:textId="62A94EF5" w:rsidR="00431D5B" w:rsidRPr="00B74333" w:rsidRDefault="00BB4587">
      <w:pPr>
        <w:pStyle w:val="ListParagraph"/>
        <w:widowControl w:val="0"/>
        <w:numPr>
          <w:ilvl w:val="1"/>
          <w:numId w:val="27"/>
        </w:numPr>
        <w:suppressAutoHyphens/>
        <w:spacing w:after="120" w:line="360" w:lineRule="auto"/>
        <w:ind w:left="426" w:hanging="568"/>
        <w:jc w:val="both"/>
        <w:rPr>
          <w:rFonts w:cstheme="minorHAnsi"/>
        </w:rPr>
      </w:pPr>
      <w:r w:rsidRPr="00B74333">
        <w:rPr>
          <w:rFonts w:cstheme="minorHAnsi"/>
        </w:rPr>
        <w:t xml:space="preserve">The </w:t>
      </w:r>
      <w:r w:rsidR="00187C3A" w:rsidRPr="00B74333">
        <w:rPr>
          <w:rFonts w:cstheme="minorHAnsi"/>
        </w:rPr>
        <w:t>entities</w:t>
      </w:r>
      <w:r w:rsidRPr="00B74333">
        <w:rPr>
          <w:rFonts w:cstheme="minorHAnsi"/>
        </w:rPr>
        <w:t xml:space="preserve"> interested in participating in the Binding Bidding Phase are requested to register </w:t>
      </w:r>
      <w:proofErr w:type="gramStart"/>
      <w:r w:rsidRPr="00B74333">
        <w:rPr>
          <w:rFonts w:cstheme="minorHAnsi"/>
        </w:rPr>
        <w:t>in order to</w:t>
      </w:r>
      <w:proofErr w:type="gramEnd"/>
      <w:r w:rsidRPr="00B74333">
        <w:rPr>
          <w:rFonts w:cstheme="minorHAnsi"/>
        </w:rPr>
        <w:t xml:space="preserve"> participate</w:t>
      </w:r>
      <w:r w:rsidR="003224AD" w:rsidRPr="00B74333">
        <w:rPr>
          <w:rFonts w:cstheme="minorHAnsi"/>
        </w:rPr>
        <w:t>,</w:t>
      </w:r>
      <w:r w:rsidR="008772AB" w:rsidRPr="00B74333">
        <w:rPr>
          <w:rFonts w:cstheme="minorHAnsi"/>
        </w:rPr>
        <w:t xml:space="preserve"> </w:t>
      </w:r>
      <w:r w:rsidR="00F355E7" w:rsidRPr="00B74333">
        <w:rPr>
          <w:rFonts w:cstheme="minorHAnsi"/>
        </w:rPr>
        <w:t>subject</w:t>
      </w:r>
      <w:r w:rsidR="008772AB" w:rsidRPr="00B74333">
        <w:rPr>
          <w:rFonts w:cstheme="minorHAnsi"/>
        </w:rPr>
        <w:t xml:space="preserve"> to the requirements described in this </w:t>
      </w:r>
      <w:r w:rsidR="00035393" w:rsidRPr="00B74333">
        <w:rPr>
          <w:rFonts w:cstheme="minorHAnsi"/>
        </w:rPr>
        <w:t>N</w:t>
      </w:r>
      <w:r w:rsidR="008772AB" w:rsidRPr="00B74333">
        <w:rPr>
          <w:rFonts w:cstheme="minorHAnsi"/>
        </w:rPr>
        <w:t>otice</w:t>
      </w:r>
      <w:r w:rsidRPr="00B74333">
        <w:rPr>
          <w:rFonts w:cstheme="minorHAnsi"/>
        </w:rPr>
        <w:t xml:space="preserve">. </w:t>
      </w:r>
    </w:p>
    <w:p w14:paraId="7915194A" w14:textId="16237DE6" w:rsidR="00290A0C" w:rsidRPr="00B74333" w:rsidRDefault="00273EBB">
      <w:pPr>
        <w:pStyle w:val="ListParagraph"/>
        <w:widowControl w:val="0"/>
        <w:numPr>
          <w:ilvl w:val="1"/>
          <w:numId w:val="27"/>
        </w:numPr>
        <w:suppressAutoHyphens/>
        <w:spacing w:after="120" w:line="360" w:lineRule="auto"/>
        <w:ind w:left="426" w:hanging="568"/>
        <w:jc w:val="both"/>
        <w:rPr>
          <w:rFonts w:cstheme="minorHAnsi"/>
        </w:rPr>
      </w:pPr>
      <w:r w:rsidRPr="00B74333">
        <w:rPr>
          <w:rFonts w:cstheme="minorHAnsi"/>
        </w:rPr>
        <w:t>The Bid Submission Window will open in</w:t>
      </w:r>
      <w:r w:rsidR="00DB2399" w:rsidRPr="00B74333">
        <w:rPr>
          <w:rFonts w:cstheme="minorHAnsi"/>
        </w:rPr>
        <w:t xml:space="preserve"> </w:t>
      </w:r>
      <w:r w:rsidR="00DA6454" w:rsidRPr="00B74333">
        <w:rPr>
          <w:rFonts w:cstheme="minorHAnsi"/>
        </w:rPr>
        <w:t>July</w:t>
      </w:r>
      <w:r w:rsidR="00EE5ADF" w:rsidRPr="00B74333">
        <w:rPr>
          <w:rFonts w:cstheme="minorHAnsi"/>
        </w:rPr>
        <w:t xml:space="preserve"> 202</w:t>
      </w:r>
      <w:r w:rsidR="00DA6454" w:rsidRPr="00B74333">
        <w:rPr>
          <w:rFonts w:cstheme="minorHAnsi"/>
        </w:rPr>
        <w:t>4</w:t>
      </w:r>
      <w:r w:rsidRPr="00B74333">
        <w:rPr>
          <w:rFonts w:cstheme="minorHAnsi"/>
        </w:rPr>
        <w:t xml:space="preserve"> </w:t>
      </w:r>
      <w:r w:rsidR="00995C3A" w:rsidRPr="00B74333">
        <w:rPr>
          <w:rFonts w:cstheme="minorHAnsi"/>
        </w:rPr>
        <w:t xml:space="preserve">to all interested parties, </w:t>
      </w:r>
      <w:r w:rsidRPr="00B74333">
        <w:rPr>
          <w:rFonts w:cstheme="minorHAnsi"/>
        </w:rPr>
        <w:t xml:space="preserve">as described in detail in the </w:t>
      </w:r>
      <w:r w:rsidR="00915219" w:rsidRPr="00B74333">
        <w:rPr>
          <w:rFonts w:cstheme="minorHAnsi"/>
        </w:rPr>
        <w:t>Guidelines</w:t>
      </w:r>
      <w:r w:rsidR="0087694C" w:rsidRPr="00B74333">
        <w:rPr>
          <w:rFonts w:cstheme="minorHAnsi"/>
        </w:rPr>
        <w:t xml:space="preserve"> and </w:t>
      </w:r>
      <w:r w:rsidR="00915219" w:rsidRPr="00B74333">
        <w:rPr>
          <w:rFonts w:cstheme="minorHAnsi"/>
        </w:rPr>
        <w:t xml:space="preserve">the </w:t>
      </w:r>
      <w:r w:rsidRPr="00B74333">
        <w:rPr>
          <w:rFonts w:cstheme="minorHAnsi"/>
        </w:rPr>
        <w:t>Project Proposal</w:t>
      </w:r>
      <w:r w:rsidR="00D95914" w:rsidRPr="00B74333">
        <w:rPr>
          <w:rFonts w:cstheme="minorHAnsi"/>
        </w:rPr>
        <w:t>s</w:t>
      </w:r>
      <w:r w:rsidRPr="00B74333">
        <w:rPr>
          <w:rFonts w:cstheme="minorHAnsi"/>
        </w:rPr>
        <w:t>.</w:t>
      </w:r>
      <w:r w:rsidR="00B805B9" w:rsidRPr="00B74333">
        <w:rPr>
          <w:rFonts w:cstheme="minorHAnsi"/>
        </w:rPr>
        <w:t xml:space="preserve"> </w:t>
      </w:r>
    </w:p>
    <w:p w14:paraId="2884714C" w14:textId="0A210B7C" w:rsidR="000612A0" w:rsidRPr="00B74333" w:rsidRDefault="000612A0">
      <w:pPr>
        <w:pStyle w:val="ListParagraph"/>
        <w:widowControl w:val="0"/>
        <w:numPr>
          <w:ilvl w:val="1"/>
          <w:numId w:val="27"/>
        </w:numPr>
        <w:suppressAutoHyphens/>
        <w:spacing w:after="120" w:line="360" w:lineRule="auto"/>
        <w:ind w:left="426" w:hanging="568"/>
        <w:jc w:val="both"/>
        <w:rPr>
          <w:rFonts w:cstheme="minorHAnsi"/>
        </w:rPr>
      </w:pPr>
      <w:r w:rsidRPr="00B74333">
        <w:rPr>
          <w:rFonts w:cstheme="minorHAnsi"/>
        </w:rPr>
        <w:t xml:space="preserve">DESFA reserves the right to terminate the Market Test </w:t>
      </w:r>
      <w:r w:rsidR="006D5AEC" w:rsidRPr="00B74333">
        <w:rPr>
          <w:rFonts w:cstheme="minorHAnsi"/>
        </w:rPr>
        <w:t>P</w:t>
      </w:r>
      <w:r w:rsidRPr="00B74333">
        <w:rPr>
          <w:rFonts w:cstheme="minorHAnsi"/>
        </w:rPr>
        <w:t>rocess before the end of the Bid Submission Window without any liability whatsoever.</w:t>
      </w:r>
    </w:p>
    <w:p w14:paraId="39782DCF" w14:textId="26812566" w:rsidR="00B805B9" w:rsidRPr="00B74333" w:rsidRDefault="00B805B9">
      <w:pPr>
        <w:pStyle w:val="ListParagraph"/>
        <w:widowControl w:val="0"/>
        <w:numPr>
          <w:ilvl w:val="1"/>
          <w:numId w:val="27"/>
        </w:numPr>
        <w:suppressAutoHyphens/>
        <w:spacing w:after="120" w:line="360" w:lineRule="auto"/>
        <w:ind w:left="426" w:hanging="568"/>
        <w:jc w:val="both"/>
        <w:rPr>
          <w:rFonts w:cstheme="minorHAnsi"/>
        </w:rPr>
      </w:pPr>
      <w:r w:rsidRPr="00B74333">
        <w:rPr>
          <w:rFonts w:cstheme="minorHAnsi"/>
        </w:rPr>
        <w:t xml:space="preserve">After the end of the Bid Submission Window, DESFA will proceed with the bid evaluation, the Preliminary Capacity </w:t>
      </w:r>
      <w:proofErr w:type="gramStart"/>
      <w:r w:rsidRPr="00B74333">
        <w:rPr>
          <w:rFonts w:cstheme="minorHAnsi"/>
        </w:rPr>
        <w:t>Allocation</w:t>
      </w:r>
      <w:proofErr w:type="gramEnd"/>
      <w:r w:rsidRPr="00B74333">
        <w:rPr>
          <w:rFonts w:cstheme="minorHAnsi"/>
        </w:rPr>
        <w:t xml:space="preserve"> and the Economic Viability Test (</w:t>
      </w:r>
      <w:r w:rsidR="00AB5303" w:rsidRPr="00B74333">
        <w:rPr>
          <w:rFonts w:cstheme="minorHAnsi"/>
        </w:rPr>
        <w:t xml:space="preserve">hereinafter the </w:t>
      </w:r>
      <w:r w:rsidR="008645AF" w:rsidRPr="00B74333">
        <w:rPr>
          <w:rFonts w:cstheme="minorHAnsi"/>
        </w:rPr>
        <w:t>“</w:t>
      </w:r>
      <w:r w:rsidRPr="00B74333">
        <w:rPr>
          <w:rFonts w:cstheme="minorHAnsi"/>
        </w:rPr>
        <w:t>EVT</w:t>
      </w:r>
      <w:r w:rsidR="008645AF" w:rsidRPr="00B74333">
        <w:rPr>
          <w:rFonts w:cstheme="minorHAnsi"/>
        </w:rPr>
        <w:t>”</w:t>
      </w:r>
      <w:r w:rsidRPr="00B74333">
        <w:rPr>
          <w:rFonts w:cstheme="minorHAnsi"/>
        </w:rPr>
        <w:t>)</w:t>
      </w:r>
      <w:r w:rsidR="009E373A" w:rsidRPr="00B74333">
        <w:rPr>
          <w:rFonts w:cstheme="minorHAnsi"/>
        </w:rPr>
        <w:t xml:space="preserve"> which in case it turns out positive DESFA will enter</w:t>
      </w:r>
      <w:r w:rsidRPr="00B74333">
        <w:rPr>
          <w:rFonts w:cstheme="minorHAnsi"/>
        </w:rPr>
        <w:t xml:space="preserve"> into Gas Transportation Agreements (</w:t>
      </w:r>
      <w:r w:rsidR="007E5A0B" w:rsidRPr="00B74333">
        <w:rPr>
          <w:rFonts w:cstheme="minorHAnsi"/>
        </w:rPr>
        <w:t>hereinafter</w:t>
      </w:r>
      <w:r w:rsidR="00AB5303" w:rsidRPr="00B74333">
        <w:rPr>
          <w:rFonts w:cstheme="minorHAnsi"/>
        </w:rPr>
        <w:t xml:space="preserve"> the</w:t>
      </w:r>
      <w:r w:rsidR="007E5A0B" w:rsidRPr="00B74333">
        <w:rPr>
          <w:rFonts w:cstheme="minorHAnsi"/>
        </w:rPr>
        <w:t xml:space="preserve"> </w:t>
      </w:r>
      <w:r w:rsidR="008645AF" w:rsidRPr="00B74333">
        <w:rPr>
          <w:rFonts w:cstheme="minorHAnsi"/>
        </w:rPr>
        <w:t>“</w:t>
      </w:r>
      <w:r w:rsidRPr="00B74333">
        <w:rPr>
          <w:rFonts w:cstheme="minorHAnsi"/>
        </w:rPr>
        <w:t>GTAs</w:t>
      </w:r>
      <w:r w:rsidR="008645AF" w:rsidRPr="00B74333">
        <w:rPr>
          <w:rFonts w:cstheme="minorHAnsi"/>
        </w:rPr>
        <w:t>”</w:t>
      </w:r>
      <w:r w:rsidRPr="00B74333">
        <w:rPr>
          <w:rFonts w:cstheme="minorHAnsi"/>
        </w:rPr>
        <w:t xml:space="preserve">) with the successful Participants, as further described in </w:t>
      </w:r>
      <w:r w:rsidR="00D41392" w:rsidRPr="00B74333">
        <w:rPr>
          <w:rFonts w:cstheme="minorHAnsi"/>
        </w:rPr>
        <w:t xml:space="preserve">Article </w:t>
      </w:r>
      <w:r w:rsidR="007D08DF" w:rsidRPr="00B74333">
        <w:rPr>
          <w:rFonts w:cstheme="minorHAnsi"/>
        </w:rPr>
        <w:t>7</w:t>
      </w:r>
      <w:r w:rsidR="00242CDC" w:rsidRPr="00B74333">
        <w:rPr>
          <w:rFonts w:cstheme="minorHAnsi"/>
        </w:rPr>
        <w:t>, the Guidelines</w:t>
      </w:r>
      <w:r w:rsidR="00D41392" w:rsidRPr="00B74333">
        <w:rPr>
          <w:rFonts w:cstheme="minorHAnsi"/>
        </w:rPr>
        <w:t xml:space="preserve"> and </w:t>
      </w:r>
      <w:r w:rsidRPr="00B74333">
        <w:rPr>
          <w:rFonts w:cstheme="minorHAnsi"/>
        </w:rPr>
        <w:t>the Project Proposal</w:t>
      </w:r>
      <w:r w:rsidR="00242CDC" w:rsidRPr="00B74333">
        <w:rPr>
          <w:rFonts w:cstheme="minorHAnsi"/>
        </w:rPr>
        <w:t>s</w:t>
      </w:r>
      <w:r w:rsidRPr="00B74333">
        <w:rPr>
          <w:rFonts w:cstheme="minorHAnsi"/>
        </w:rPr>
        <w:t>.</w:t>
      </w:r>
      <w:r w:rsidR="000612A0" w:rsidRPr="00B74333">
        <w:rPr>
          <w:rFonts w:cstheme="minorHAnsi"/>
        </w:rPr>
        <w:t xml:space="preserve"> </w:t>
      </w:r>
    </w:p>
    <w:p w14:paraId="528236D7" w14:textId="77777777" w:rsidR="008D224C" w:rsidRPr="00B74333" w:rsidRDefault="008D224C" w:rsidP="00B95568">
      <w:pPr>
        <w:widowControl w:val="0"/>
        <w:suppressAutoHyphens/>
        <w:spacing w:after="120"/>
        <w:rPr>
          <w:rFonts w:cstheme="minorHAnsi"/>
          <w:u w:val="single"/>
        </w:rPr>
      </w:pPr>
      <w:bookmarkStart w:id="39" w:name="_Ref495666311"/>
      <w:bookmarkStart w:id="40" w:name="_Toc28009897"/>
      <w:bookmarkStart w:id="41" w:name="_Toc37333763"/>
    </w:p>
    <w:p w14:paraId="687EAB5F" w14:textId="00D663D6" w:rsidR="007D0463" w:rsidRPr="00B74333" w:rsidRDefault="003D5005" w:rsidP="00E77C68">
      <w:pPr>
        <w:pStyle w:val="Heading1"/>
        <w:spacing w:after="160"/>
        <w:ind w:left="426"/>
      </w:pPr>
      <w:bookmarkStart w:id="42" w:name="_Toc71289527"/>
      <w:bookmarkStart w:id="43" w:name="_Toc165465558"/>
      <w:r w:rsidRPr="00B74333">
        <w:t xml:space="preserve">Article </w:t>
      </w:r>
      <w:r w:rsidR="005314C2" w:rsidRPr="00B74333">
        <w:t>5</w:t>
      </w:r>
      <w:r w:rsidRPr="00B74333">
        <w:t xml:space="preserve"> </w:t>
      </w:r>
      <w:r w:rsidR="00766422" w:rsidRPr="00B74333">
        <w:t>-</w:t>
      </w:r>
      <w:r w:rsidRPr="00B74333">
        <w:t xml:space="preserve"> </w:t>
      </w:r>
      <w:bookmarkEnd w:id="39"/>
      <w:r w:rsidR="007D0463" w:rsidRPr="00B74333">
        <w:t>Registration</w:t>
      </w:r>
      <w:bookmarkEnd w:id="40"/>
      <w:bookmarkEnd w:id="41"/>
      <w:r w:rsidR="00D96BCA" w:rsidRPr="00B74333">
        <w:t xml:space="preserve"> and Bid </w:t>
      </w:r>
      <w:proofErr w:type="gramStart"/>
      <w:r w:rsidR="00D96BCA" w:rsidRPr="00B74333">
        <w:t>submission</w:t>
      </w:r>
      <w:bookmarkEnd w:id="42"/>
      <w:bookmarkEnd w:id="43"/>
      <w:proofErr w:type="gramEnd"/>
    </w:p>
    <w:p w14:paraId="5E815079" w14:textId="50696FBB" w:rsidR="0085255A" w:rsidRPr="00B74333" w:rsidRDefault="0085255A">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 xml:space="preserve">All Interested </w:t>
      </w:r>
      <w:r w:rsidR="001D7092" w:rsidRPr="00B74333">
        <w:rPr>
          <w:rFonts w:cstheme="minorHAnsi"/>
        </w:rPr>
        <w:t xml:space="preserve">entities </w:t>
      </w:r>
      <w:r w:rsidRPr="00B74333">
        <w:rPr>
          <w:rFonts w:cstheme="minorHAnsi"/>
        </w:rPr>
        <w:t xml:space="preserve">are invited to </w:t>
      </w:r>
      <w:r w:rsidR="003D7CC1" w:rsidRPr="00B74333">
        <w:rPr>
          <w:rFonts w:cstheme="minorHAnsi"/>
        </w:rPr>
        <w:t xml:space="preserve">register </w:t>
      </w:r>
      <w:r w:rsidR="00196D07" w:rsidRPr="00B74333">
        <w:rPr>
          <w:rFonts w:cstheme="minorHAnsi"/>
        </w:rPr>
        <w:t>during the Registration P</w:t>
      </w:r>
      <w:r w:rsidR="00AC762E" w:rsidRPr="00B74333">
        <w:rPr>
          <w:rFonts w:cstheme="minorHAnsi"/>
        </w:rPr>
        <w:t>eriod</w:t>
      </w:r>
      <w:r w:rsidR="00196D07" w:rsidRPr="00B74333">
        <w:rPr>
          <w:rFonts w:cstheme="minorHAnsi"/>
        </w:rPr>
        <w:t xml:space="preserve"> </w:t>
      </w:r>
      <w:r w:rsidRPr="00B74333">
        <w:rPr>
          <w:rFonts w:cstheme="minorHAnsi"/>
        </w:rPr>
        <w:t xml:space="preserve">and submit </w:t>
      </w:r>
      <w:r w:rsidR="00196D07" w:rsidRPr="00B74333">
        <w:rPr>
          <w:rFonts w:cstheme="minorHAnsi"/>
        </w:rPr>
        <w:t>b</w:t>
      </w:r>
      <w:r w:rsidRPr="00B74333">
        <w:rPr>
          <w:rFonts w:cstheme="minorHAnsi"/>
        </w:rPr>
        <w:t xml:space="preserve">inding </w:t>
      </w:r>
      <w:r w:rsidR="001E3D2B" w:rsidRPr="00B74333">
        <w:rPr>
          <w:rFonts w:cstheme="minorHAnsi"/>
        </w:rPr>
        <w:t>bids during</w:t>
      </w:r>
      <w:r w:rsidR="00172A1D" w:rsidRPr="00B74333">
        <w:rPr>
          <w:rFonts w:cstheme="minorHAnsi"/>
        </w:rPr>
        <w:t xml:space="preserve"> the </w:t>
      </w:r>
      <w:r w:rsidR="00EE4F46" w:rsidRPr="00B74333">
        <w:rPr>
          <w:rFonts w:cstheme="minorHAnsi"/>
        </w:rPr>
        <w:t>Bid Submission Window</w:t>
      </w:r>
      <w:r w:rsidRPr="00B74333">
        <w:rPr>
          <w:rFonts w:cstheme="minorHAnsi"/>
        </w:rPr>
        <w:t xml:space="preserve"> for </w:t>
      </w:r>
      <w:r w:rsidR="007156B0" w:rsidRPr="00B74333">
        <w:rPr>
          <w:rFonts w:cstheme="minorHAnsi"/>
        </w:rPr>
        <w:t>the</w:t>
      </w:r>
      <w:r w:rsidRPr="00B74333">
        <w:rPr>
          <w:rFonts w:cstheme="minorHAnsi"/>
        </w:rPr>
        <w:t xml:space="preserve"> allocation of </w:t>
      </w:r>
      <w:r w:rsidR="007156B0" w:rsidRPr="00B74333">
        <w:rPr>
          <w:rFonts w:cstheme="minorHAnsi"/>
        </w:rPr>
        <w:t xml:space="preserve">incremental </w:t>
      </w:r>
      <w:r w:rsidRPr="00B74333">
        <w:rPr>
          <w:rFonts w:cstheme="minorHAnsi"/>
        </w:rPr>
        <w:t xml:space="preserve">capacity at </w:t>
      </w:r>
      <w:r w:rsidR="007156B0" w:rsidRPr="00B74333">
        <w:rPr>
          <w:rFonts w:cstheme="minorHAnsi"/>
        </w:rPr>
        <w:t>DESFA</w:t>
      </w:r>
      <w:r w:rsidR="001D3088" w:rsidRPr="00B74333">
        <w:rPr>
          <w:rFonts w:cstheme="minorHAnsi"/>
        </w:rPr>
        <w:t>’s</w:t>
      </w:r>
      <w:r w:rsidR="00207A3E" w:rsidRPr="00B74333">
        <w:rPr>
          <w:rFonts w:cstheme="minorHAnsi"/>
        </w:rPr>
        <w:t xml:space="preserve"> side of the IPs and </w:t>
      </w:r>
      <w:r w:rsidR="00B06513" w:rsidRPr="00B74333">
        <w:rPr>
          <w:rFonts w:cstheme="minorHAnsi"/>
        </w:rPr>
        <w:t xml:space="preserve">entry points </w:t>
      </w:r>
      <w:r w:rsidRPr="00B74333">
        <w:rPr>
          <w:rFonts w:cstheme="minorHAnsi"/>
        </w:rPr>
        <w:t xml:space="preserve">in accordance with the </w:t>
      </w:r>
      <w:r w:rsidR="00BA2809" w:rsidRPr="00B74333">
        <w:rPr>
          <w:rFonts w:cstheme="minorHAnsi"/>
        </w:rPr>
        <w:t xml:space="preserve">Guidelines, the </w:t>
      </w:r>
      <w:r w:rsidRPr="00B74333">
        <w:rPr>
          <w:rFonts w:cstheme="minorHAnsi"/>
        </w:rPr>
        <w:t>Project Proposal</w:t>
      </w:r>
      <w:r w:rsidR="00BA2809" w:rsidRPr="00B74333">
        <w:rPr>
          <w:rFonts w:cstheme="minorHAnsi"/>
        </w:rPr>
        <w:t>s</w:t>
      </w:r>
      <w:r w:rsidR="0074556A" w:rsidRPr="00B74333">
        <w:rPr>
          <w:rFonts w:cstheme="minorHAnsi"/>
        </w:rPr>
        <w:t xml:space="preserve"> and present </w:t>
      </w:r>
      <w:r w:rsidR="00A8087B" w:rsidRPr="00B74333">
        <w:rPr>
          <w:rFonts w:cstheme="minorHAnsi"/>
        </w:rPr>
        <w:t>N</w:t>
      </w:r>
      <w:r w:rsidR="0074556A" w:rsidRPr="00B74333">
        <w:rPr>
          <w:rFonts w:cstheme="minorHAnsi"/>
        </w:rPr>
        <w:t>otice</w:t>
      </w:r>
      <w:r w:rsidRPr="00B74333">
        <w:rPr>
          <w:rFonts w:cstheme="minorHAnsi"/>
        </w:rPr>
        <w:t xml:space="preserve">. </w:t>
      </w:r>
      <w:r w:rsidR="00AB2FB0" w:rsidRPr="00B74333">
        <w:rPr>
          <w:rFonts w:cstheme="minorHAnsi"/>
        </w:rPr>
        <w:t xml:space="preserve"> </w:t>
      </w:r>
    </w:p>
    <w:p w14:paraId="21F9208E" w14:textId="6675E9FF" w:rsidR="007D0463" w:rsidRPr="00B74333" w:rsidRDefault="00616363">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 xml:space="preserve">Only </w:t>
      </w:r>
      <w:r w:rsidR="00E71A51" w:rsidRPr="00B74333">
        <w:rPr>
          <w:rFonts w:cstheme="minorHAnsi"/>
        </w:rPr>
        <w:t xml:space="preserve">Transmission Users (i.e. </w:t>
      </w:r>
      <w:r w:rsidRPr="00B74333">
        <w:rPr>
          <w:rFonts w:cstheme="minorHAnsi"/>
        </w:rPr>
        <w:t>having a signed and valid</w:t>
      </w:r>
      <w:r w:rsidR="0005421C" w:rsidRPr="00B74333">
        <w:rPr>
          <w:rFonts w:cstheme="minorHAnsi"/>
        </w:rPr>
        <w:t xml:space="preserve"> NNGS Standard Transmission Agreement </w:t>
      </w:r>
      <w:r w:rsidRPr="00B74333">
        <w:rPr>
          <w:rFonts w:cstheme="minorHAnsi"/>
        </w:rPr>
        <w:t>with DESFA as per the applicable legislation</w:t>
      </w:r>
      <w:r w:rsidR="00E71A51" w:rsidRPr="00B74333">
        <w:rPr>
          <w:rFonts w:cstheme="minorHAnsi"/>
        </w:rPr>
        <w:t>)</w:t>
      </w:r>
      <w:r w:rsidRPr="00B74333">
        <w:rPr>
          <w:rFonts w:cstheme="minorHAnsi"/>
        </w:rPr>
        <w:t xml:space="preserve">, can </w:t>
      </w:r>
      <w:r w:rsidR="00CC35D7" w:rsidRPr="00B74333">
        <w:rPr>
          <w:rFonts w:cstheme="minorHAnsi"/>
        </w:rPr>
        <w:t xml:space="preserve">be registered and </w:t>
      </w:r>
      <w:r w:rsidRPr="00B74333">
        <w:rPr>
          <w:rFonts w:cstheme="minorHAnsi"/>
        </w:rPr>
        <w:t>submit binding bids</w:t>
      </w:r>
      <w:r w:rsidR="0035533A" w:rsidRPr="00B74333">
        <w:rPr>
          <w:rFonts w:cstheme="minorHAnsi"/>
        </w:rPr>
        <w:t xml:space="preserve"> to DESFA</w:t>
      </w:r>
      <w:r w:rsidRPr="00B74333">
        <w:rPr>
          <w:rFonts w:cstheme="minorHAnsi"/>
        </w:rPr>
        <w:t xml:space="preserve"> in </w:t>
      </w:r>
      <w:r w:rsidR="00AA5628" w:rsidRPr="00B74333">
        <w:rPr>
          <w:rFonts w:cstheme="minorHAnsi"/>
        </w:rPr>
        <w:t>this</w:t>
      </w:r>
      <w:r w:rsidRPr="00B74333">
        <w:rPr>
          <w:rFonts w:cstheme="minorHAnsi"/>
        </w:rPr>
        <w:t xml:space="preserve"> Binding Bi</w:t>
      </w:r>
      <w:r w:rsidR="007004FE" w:rsidRPr="00B74333">
        <w:rPr>
          <w:rFonts w:cstheme="minorHAnsi"/>
        </w:rPr>
        <w:t>d</w:t>
      </w:r>
      <w:r w:rsidRPr="00B74333">
        <w:rPr>
          <w:rFonts w:cstheme="minorHAnsi"/>
        </w:rPr>
        <w:t xml:space="preserve">ding Phase. In this respect, the </w:t>
      </w:r>
      <w:r w:rsidR="000C226B" w:rsidRPr="00B74333">
        <w:rPr>
          <w:rFonts w:cstheme="minorHAnsi"/>
        </w:rPr>
        <w:t xml:space="preserve">Applicant </w:t>
      </w:r>
      <w:r w:rsidRPr="00B74333">
        <w:rPr>
          <w:rFonts w:cstheme="minorHAnsi"/>
        </w:rPr>
        <w:t>should have to</w:t>
      </w:r>
      <w:r w:rsidR="00AE5015" w:rsidRPr="00B74333">
        <w:rPr>
          <w:rFonts w:cstheme="minorHAnsi"/>
        </w:rPr>
        <w:t xml:space="preserve"> be</w:t>
      </w:r>
      <w:r w:rsidRPr="00B74333">
        <w:rPr>
          <w:rFonts w:cstheme="minorHAnsi"/>
        </w:rPr>
        <w:t xml:space="preserve"> register</w:t>
      </w:r>
      <w:r w:rsidR="007004FE" w:rsidRPr="00B74333">
        <w:rPr>
          <w:rFonts w:cstheme="minorHAnsi"/>
        </w:rPr>
        <w:t>ed</w:t>
      </w:r>
      <w:r w:rsidRPr="00B74333">
        <w:rPr>
          <w:rFonts w:cstheme="minorHAnsi"/>
        </w:rPr>
        <w:t xml:space="preserve"> to </w:t>
      </w:r>
      <w:r w:rsidR="00CD5B50" w:rsidRPr="00B74333">
        <w:rPr>
          <w:rFonts w:cstheme="minorHAnsi"/>
        </w:rPr>
        <w:t>RAE</w:t>
      </w:r>
      <w:r w:rsidR="00B50B02" w:rsidRPr="00B74333">
        <w:rPr>
          <w:rFonts w:cstheme="minorHAnsi"/>
        </w:rPr>
        <w:t>W</w:t>
      </w:r>
      <w:r w:rsidR="00CD5B50" w:rsidRPr="00B74333">
        <w:rPr>
          <w:rFonts w:cstheme="minorHAnsi"/>
        </w:rPr>
        <w:t>W</w:t>
      </w:r>
      <w:r w:rsidRPr="00B74333">
        <w:rPr>
          <w:rFonts w:cstheme="minorHAnsi"/>
        </w:rPr>
        <w:t xml:space="preserve">’s User Registry in accordance with article 72 of Law 4011/2011 and the relevant </w:t>
      </w:r>
      <w:r w:rsidR="00855E52" w:rsidRPr="00B74333">
        <w:rPr>
          <w:rFonts w:cstheme="minorHAnsi"/>
        </w:rPr>
        <w:t>r</w:t>
      </w:r>
      <w:r w:rsidRPr="00B74333">
        <w:rPr>
          <w:rFonts w:cstheme="minorHAnsi"/>
        </w:rPr>
        <w:t>egulation (</w:t>
      </w:r>
      <w:r w:rsidR="007708ED" w:rsidRPr="00B74333">
        <w:rPr>
          <w:rFonts w:cstheme="minorHAnsi"/>
        </w:rPr>
        <w:t xml:space="preserve">Government Gazette </w:t>
      </w:r>
      <w:r w:rsidRPr="00B74333">
        <w:rPr>
          <w:rFonts w:cstheme="minorHAnsi"/>
        </w:rPr>
        <w:t xml:space="preserve">B’ 451/16.04.2010) and </w:t>
      </w:r>
      <w:r w:rsidR="00F11113" w:rsidRPr="00B74333">
        <w:rPr>
          <w:rFonts w:cstheme="minorHAnsi"/>
        </w:rPr>
        <w:t xml:space="preserve">should have </w:t>
      </w:r>
      <w:r w:rsidR="0088182D" w:rsidRPr="00B74333">
        <w:rPr>
          <w:rFonts w:cstheme="minorHAnsi"/>
        </w:rPr>
        <w:t xml:space="preserve">signed </w:t>
      </w:r>
      <w:r w:rsidR="00153F95" w:rsidRPr="00B74333">
        <w:rPr>
          <w:rFonts w:cstheme="minorHAnsi"/>
        </w:rPr>
        <w:t>a</w:t>
      </w:r>
      <w:r w:rsidR="00543893" w:rsidRPr="00B74333">
        <w:rPr>
          <w:rFonts w:cstheme="minorHAnsi"/>
        </w:rPr>
        <w:t xml:space="preserve"> </w:t>
      </w:r>
      <w:r w:rsidR="00B671DA" w:rsidRPr="00B74333">
        <w:rPr>
          <w:rFonts w:cstheme="minorHAnsi"/>
        </w:rPr>
        <w:t xml:space="preserve">NNGS Standard Transmission Agreement </w:t>
      </w:r>
      <w:r w:rsidRPr="00B74333">
        <w:rPr>
          <w:rFonts w:cstheme="minorHAnsi"/>
        </w:rPr>
        <w:t xml:space="preserve">with DESFA in accordance with article 6A of the Network Code, as in force. </w:t>
      </w:r>
    </w:p>
    <w:p w14:paraId="6D629EF5" w14:textId="77777777" w:rsidR="00281B93" w:rsidRPr="00B74333" w:rsidRDefault="00281B93" w:rsidP="00837724">
      <w:pPr>
        <w:pStyle w:val="ListParagraph"/>
        <w:widowControl w:val="0"/>
        <w:suppressAutoHyphens/>
        <w:spacing w:before="120" w:after="120" w:line="360" w:lineRule="auto"/>
        <w:ind w:left="426"/>
        <w:jc w:val="both"/>
        <w:rPr>
          <w:rFonts w:cstheme="minorHAnsi"/>
        </w:rPr>
      </w:pPr>
    </w:p>
    <w:p w14:paraId="7B78FFC2" w14:textId="77777777" w:rsidR="00026F0C" w:rsidRPr="00B74333" w:rsidRDefault="00EE4F46" w:rsidP="00837724">
      <w:pPr>
        <w:pStyle w:val="ListParagraph"/>
        <w:widowControl w:val="0"/>
        <w:suppressAutoHyphens/>
        <w:spacing w:before="120" w:after="120" w:line="360" w:lineRule="auto"/>
        <w:ind w:left="426"/>
        <w:jc w:val="both"/>
        <w:rPr>
          <w:rFonts w:cstheme="minorHAnsi"/>
          <w:b/>
        </w:rPr>
      </w:pPr>
      <w:r w:rsidRPr="00B74333">
        <w:rPr>
          <w:rFonts w:cstheme="minorHAnsi"/>
          <w:b/>
        </w:rPr>
        <w:t>Registration</w:t>
      </w:r>
      <w:r w:rsidR="006D68B7" w:rsidRPr="00B74333">
        <w:rPr>
          <w:rFonts w:cstheme="minorHAnsi"/>
          <w:b/>
        </w:rPr>
        <w:t xml:space="preserve"> </w:t>
      </w:r>
      <w:r w:rsidRPr="00B74333">
        <w:rPr>
          <w:rFonts w:cstheme="minorHAnsi"/>
          <w:b/>
        </w:rPr>
        <w:t>Period</w:t>
      </w:r>
    </w:p>
    <w:p w14:paraId="6BF89EE6" w14:textId="7115F41C" w:rsidR="00F669A5" w:rsidRPr="00B74333" w:rsidRDefault="001E3D2B" w:rsidP="00332FB4">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 xml:space="preserve">During the Registration </w:t>
      </w:r>
      <w:r w:rsidR="00EE4F46" w:rsidRPr="00B74333">
        <w:rPr>
          <w:rFonts w:cstheme="minorHAnsi"/>
        </w:rPr>
        <w:t>Period</w:t>
      </w:r>
      <w:r w:rsidRPr="00B74333">
        <w:rPr>
          <w:rFonts w:cstheme="minorHAnsi"/>
        </w:rPr>
        <w:t xml:space="preserve">, </w:t>
      </w:r>
      <w:r w:rsidR="00D715A8" w:rsidRPr="00B74333">
        <w:rPr>
          <w:rFonts w:cstheme="minorHAnsi"/>
        </w:rPr>
        <w:t>Applicants will have to submit to DESFA</w:t>
      </w:r>
      <w:r w:rsidR="00A77EE4" w:rsidRPr="00B74333">
        <w:rPr>
          <w:rFonts w:cstheme="minorHAnsi"/>
        </w:rPr>
        <w:t>,</w:t>
      </w:r>
      <w:r w:rsidR="00D715A8" w:rsidRPr="00B74333">
        <w:rPr>
          <w:rFonts w:cstheme="minorHAnsi"/>
        </w:rPr>
        <w:t xml:space="preserve"> </w:t>
      </w:r>
      <w:r w:rsidR="00A77EE4" w:rsidRPr="00B74333">
        <w:rPr>
          <w:rFonts w:cstheme="minorHAnsi"/>
        </w:rPr>
        <w:t xml:space="preserve">up and </w:t>
      </w:r>
      <w:r w:rsidR="00D715A8" w:rsidRPr="00B74333">
        <w:rPr>
          <w:rFonts w:cstheme="minorHAnsi"/>
        </w:rPr>
        <w:t>until the deadline set in Article 5.4</w:t>
      </w:r>
      <w:r w:rsidR="00A77EE4" w:rsidRPr="00B74333">
        <w:rPr>
          <w:rFonts w:cstheme="minorHAnsi"/>
        </w:rPr>
        <w:t>,</w:t>
      </w:r>
      <w:r w:rsidR="00D715A8" w:rsidRPr="00B74333">
        <w:rPr>
          <w:rFonts w:cstheme="minorHAnsi"/>
        </w:rPr>
        <w:t xml:space="preserve"> a filled-in Registration Form according to Annex I</w:t>
      </w:r>
      <w:r w:rsidR="00C00BCE" w:rsidRPr="00B74333">
        <w:rPr>
          <w:rFonts w:cstheme="minorHAnsi"/>
        </w:rPr>
        <w:t>.</w:t>
      </w:r>
      <w:r w:rsidR="00C00BCE" w:rsidRPr="00B74333" w:rsidDel="00DF017C">
        <w:rPr>
          <w:rFonts w:cstheme="minorHAnsi"/>
        </w:rPr>
        <w:t xml:space="preserve"> </w:t>
      </w:r>
    </w:p>
    <w:p w14:paraId="3BF4CD46" w14:textId="77777777" w:rsidR="009518FF" w:rsidRPr="00B74333" w:rsidRDefault="009518FF" w:rsidP="00332FB4">
      <w:pPr>
        <w:pStyle w:val="ListParagraph"/>
        <w:widowControl w:val="0"/>
        <w:suppressAutoHyphens/>
        <w:spacing w:before="120" w:after="120" w:line="360" w:lineRule="auto"/>
        <w:ind w:left="426"/>
        <w:jc w:val="both"/>
        <w:rPr>
          <w:rFonts w:cstheme="minorHAnsi"/>
        </w:rPr>
      </w:pPr>
      <w:r w:rsidRPr="00B74333">
        <w:rPr>
          <w:rFonts w:cstheme="minorHAnsi"/>
        </w:rPr>
        <w:lastRenderedPageBreak/>
        <w:t xml:space="preserve">All documents to be submitted to DESFA under this </w:t>
      </w:r>
      <w:r w:rsidR="00F669A5" w:rsidRPr="00B74333">
        <w:rPr>
          <w:rFonts w:cstheme="minorHAnsi"/>
        </w:rPr>
        <w:t>Registration</w:t>
      </w:r>
      <w:r w:rsidRPr="00B74333">
        <w:rPr>
          <w:rFonts w:cstheme="minorHAnsi"/>
        </w:rPr>
        <w:t xml:space="preserve"> </w:t>
      </w:r>
      <w:r w:rsidR="00EE4F46" w:rsidRPr="00B74333">
        <w:rPr>
          <w:rFonts w:cstheme="minorHAnsi"/>
        </w:rPr>
        <w:t xml:space="preserve">Period </w:t>
      </w:r>
      <w:r w:rsidRPr="00B74333">
        <w:rPr>
          <w:rFonts w:cstheme="minorHAnsi"/>
        </w:rPr>
        <w:t xml:space="preserve">should be submitted </w:t>
      </w:r>
      <w:r w:rsidR="00DF26F4" w:rsidRPr="00B74333">
        <w:rPr>
          <w:rFonts w:cstheme="minorHAnsi"/>
        </w:rPr>
        <w:t xml:space="preserve">in DESFA’s Protocol </w:t>
      </w:r>
      <w:r w:rsidR="008A4BFA" w:rsidRPr="00B74333">
        <w:rPr>
          <w:rFonts w:cstheme="minorHAnsi"/>
        </w:rPr>
        <w:t>service</w:t>
      </w:r>
      <w:r w:rsidR="00491E43" w:rsidRPr="00B74333">
        <w:rPr>
          <w:rFonts w:cstheme="minorHAnsi"/>
        </w:rPr>
        <w:t xml:space="preserve"> </w:t>
      </w:r>
      <w:r w:rsidR="00642C2D" w:rsidRPr="00B74333">
        <w:rPr>
          <w:rFonts w:cstheme="minorHAnsi"/>
        </w:rPr>
        <w:t xml:space="preserve">(Secretariat Unit) </w:t>
      </w:r>
      <w:r w:rsidR="00DF26F4" w:rsidRPr="00B74333">
        <w:rPr>
          <w:rFonts w:cstheme="minorHAnsi"/>
        </w:rPr>
        <w:t xml:space="preserve">in the following address or </w:t>
      </w:r>
      <w:r w:rsidRPr="00B74333">
        <w:rPr>
          <w:rFonts w:cstheme="minorHAnsi"/>
        </w:rPr>
        <w:t xml:space="preserve">via courier or registered mail to the following address: </w:t>
      </w:r>
    </w:p>
    <w:p w14:paraId="3973C9AD" w14:textId="77777777" w:rsidR="009518FF" w:rsidRPr="00B74333" w:rsidRDefault="009518FF" w:rsidP="006005C6">
      <w:pPr>
        <w:pStyle w:val="ListParagraph"/>
        <w:widowControl w:val="0"/>
        <w:suppressAutoHyphens/>
        <w:spacing w:before="120" w:after="120" w:line="240" w:lineRule="auto"/>
        <w:jc w:val="both"/>
        <w:rPr>
          <w:rFonts w:cstheme="minorHAnsi"/>
          <w:lang w:val="fr-FR"/>
        </w:rPr>
      </w:pPr>
      <w:r w:rsidRPr="00B74333">
        <w:rPr>
          <w:rFonts w:cstheme="minorHAnsi"/>
          <w:lang w:val="fr-FR"/>
        </w:rPr>
        <w:t xml:space="preserve">DESFA S.A. </w:t>
      </w:r>
    </w:p>
    <w:p w14:paraId="2A0CC41F" w14:textId="77777777" w:rsidR="009518FF" w:rsidRPr="00B74333" w:rsidRDefault="009518FF" w:rsidP="006005C6">
      <w:pPr>
        <w:pStyle w:val="ListParagraph"/>
        <w:widowControl w:val="0"/>
        <w:suppressAutoHyphens/>
        <w:spacing w:before="120" w:after="120" w:line="240" w:lineRule="auto"/>
        <w:jc w:val="both"/>
        <w:rPr>
          <w:rFonts w:cstheme="minorHAnsi"/>
          <w:lang w:val="fr-FR"/>
        </w:rPr>
      </w:pPr>
      <w:r w:rsidRPr="00B74333">
        <w:rPr>
          <w:rFonts w:cstheme="minorHAnsi"/>
          <w:lang w:val="fr-FR"/>
        </w:rPr>
        <w:t xml:space="preserve">357-359 </w:t>
      </w:r>
      <w:proofErr w:type="spellStart"/>
      <w:r w:rsidRPr="00B74333">
        <w:rPr>
          <w:rFonts w:cstheme="minorHAnsi"/>
          <w:lang w:val="fr-FR"/>
        </w:rPr>
        <w:t>Messogion</w:t>
      </w:r>
      <w:proofErr w:type="spellEnd"/>
      <w:r w:rsidRPr="00B74333">
        <w:rPr>
          <w:rFonts w:cstheme="minorHAnsi"/>
          <w:lang w:val="fr-FR"/>
        </w:rPr>
        <w:t xml:space="preserve"> Ave.</w:t>
      </w:r>
    </w:p>
    <w:p w14:paraId="46CC9DAC" w14:textId="77777777" w:rsidR="009518FF" w:rsidRPr="00B74333" w:rsidRDefault="009518FF" w:rsidP="006005C6">
      <w:pPr>
        <w:pStyle w:val="ListParagraph"/>
        <w:widowControl w:val="0"/>
        <w:suppressAutoHyphens/>
        <w:spacing w:before="120" w:after="120" w:line="240" w:lineRule="auto"/>
        <w:jc w:val="both"/>
        <w:rPr>
          <w:rFonts w:cstheme="minorHAnsi"/>
          <w:lang w:val="fr-FR"/>
        </w:rPr>
      </w:pPr>
      <w:r w:rsidRPr="00B74333">
        <w:rPr>
          <w:rFonts w:cstheme="minorHAnsi"/>
          <w:lang w:val="fr-FR"/>
        </w:rPr>
        <w:t xml:space="preserve">GR - 152 31 HALANDRI, GREECE </w:t>
      </w:r>
    </w:p>
    <w:p w14:paraId="32C9A31B" w14:textId="77777777" w:rsidR="009518FF" w:rsidRPr="00B74333" w:rsidRDefault="009518FF" w:rsidP="006005C6">
      <w:pPr>
        <w:pStyle w:val="ListParagraph"/>
        <w:widowControl w:val="0"/>
        <w:suppressAutoHyphens/>
        <w:spacing w:before="120" w:after="120" w:line="240" w:lineRule="auto"/>
        <w:jc w:val="both"/>
        <w:rPr>
          <w:rFonts w:cstheme="minorHAnsi"/>
          <w:lang w:val="fr-FR"/>
        </w:rPr>
      </w:pPr>
      <w:r w:rsidRPr="00B74333">
        <w:rPr>
          <w:rFonts w:cstheme="minorHAnsi"/>
          <w:lang w:val="fr-FR"/>
        </w:rPr>
        <w:t xml:space="preserve">General Document Centre, </w:t>
      </w:r>
      <w:proofErr w:type="gramStart"/>
      <w:r w:rsidRPr="00B74333">
        <w:rPr>
          <w:rFonts w:cstheme="minorHAnsi"/>
          <w:lang w:val="fr-FR"/>
        </w:rPr>
        <w:t>T:</w:t>
      </w:r>
      <w:proofErr w:type="gramEnd"/>
      <w:r w:rsidRPr="00B74333">
        <w:rPr>
          <w:rFonts w:cstheme="minorHAnsi"/>
          <w:lang w:val="fr-FR"/>
        </w:rPr>
        <w:t xml:space="preserve"> +30 213 088 4278, +30 213 088 4286</w:t>
      </w:r>
    </w:p>
    <w:p w14:paraId="7C83118E" w14:textId="77777777" w:rsidR="007D0463" w:rsidRPr="00B74333" w:rsidRDefault="009518FF" w:rsidP="006005C6">
      <w:pPr>
        <w:pStyle w:val="ListParagraph"/>
        <w:widowControl w:val="0"/>
        <w:suppressAutoHyphens/>
        <w:spacing w:before="120" w:after="120" w:line="240" w:lineRule="auto"/>
        <w:jc w:val="both"/>
        <w:rPr>
          <w:rFonts w:cstheme="minorHAnsi"/>
        </w:rPr>
      </w:pPr>
      <w:r w:rsidRPr="00B74333">
        <w:rPr>
          <w:rFonts w:cstheme="minorHAnsi"/>
        </w:rPr>
        <w:t xml:space="preserve">to the attention of Commercial </w:t>
      </w:r>
      <w:r w:rsidR="00CC0E18" w:rsidRPr="00B74333">
        <w:rPr>
          <w:rFonts w:cstheme="minorHAnsi"/>
        </w:rPr>
        <w:t xml:space="preserve">Services </w:t>
      </w:r>
      <w:r w:rsidRPr="00B74333">
        <w:rPr>
          <w:rFonts w:cstheme="minorHAnsi"/>
        </w:rPr>
        <w:t>Division</w:t>
      </w:r>
    </w:p>
    <w:p w14:paraId="4B45711E" w14:textId="77777777" w:rsidR="00A87FAB" w:rsidRPr="00B74333" w:rsidRDefault="00A87FAB" w:rsidP="00A87FAB">
      <w:pPr>
        <w:pStyle w:val="ListParagraph"/>
        <w:widowControl w:val="0"/>
        <w:suppressAutoHyphens/>
        <w:spacing w:before="120" w:after="120" w:line="276" w:lineRule="auto"/>
        <w:ind w:left="426"/>
        <w:jc w:val="both"/>
        <w:rPr>
          <w:rFonts w:cstheme="minorHAnsi"/>
        </w:rPr>
      </w:pPr>
    </w:p>
    <w:p w14:paraId="4211618B" w14:textId="6EBDDAD9" w:rsidR="0007786D" w:rsidRPr="00B74333" w:rsidRDefault="0007786D">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 xml:space="preserve">The Registration Deadline is set to </w:t>
      </w:r>
      <w:r w:rsidR="009168CB" w:rsidRPr="00B74333">
        <w:rPr>
          <w:rFonts w:cstheme="minorHAnsi"/>
        </w:rPr>
        <w:t>13</w:t>
      </w:r>
      <w:r w:rsidR="001B07FE" w:rsidRPr="00B74333">
        <w:rPr>
          <w:rFonts w:cstheme="minorHAnsi"/>
        </w:rPr>
        <w:t>:</w:t>
      </w:r>
      <w:r w:rsidR="009168CB" w:rsidRPr="00B74333">
        <w:rPr>
          <w:rFonts w:cstheme="minorHAnsi"/>
        </w:rPr>
        <w:t>3</w:t>
      </w:r>
      <w:r w:rsidR="001B07FE" w:rsidRPr="00B74333">
        <w:rPr>
          <w:rFonts w:cstheme="minorHAnsi"/>
        </w:rPr>
        <w:t>0</w:t>
      </w:r>
      <w:r w:rsidRPr="00B74333">
        <w:rPr>
          <w:rFonts w:cstheme="minorHAnsi"/>
        </w:rPr>
        <w:t xml:space="preserve">, local time </w:t>
      </w:r>
      <w:r w:rsidR="00D56C6E" w:rsidRPr="00B74333">
        <w:rPr>
          <w:rFonts w:cstheme="minorHAnsi"/>
        </w:rPr>
        <w:t xml:space="preserve">in Greece </w:t>
      </w:r>
      <w:r w:rsidRPr="00B74333">
        <w:rPr>
          <w:rFonts w:cstheme="minorHAnsi"/>
        </w:rPr>
        <w:t>(</w:t>
      </w:r>
      <w:r w:rsidR="00D56C6E" w:rsidRPr="00B74333">
        <w:rPr>
          <w:rFonts w:cstheme="minorHAnsi"/>
        </w:rPr>
        <w:t>EE</w:t>
      </w:r>
      <w:r w:rsidR="008E701C" w:rsidRPr="00B74333">
        <w:rPr>
          <w:rFonts w:cstheme="minorHAnsi"/>
        </w:rPr>
        <w:t>S</w:t>
      </w:r>
      <w:r w:rsidR="00D56C6E" w:rsidRPr="00B74333">
        <w:rPr>
          <w:rFonts w:cstheme="minorHAnsi"/>
        </w:rPr>
        <w:t>T</w:t>
      </w:r>
      <w:r w:rsidRPr="00B74333">
        <w:rPr>
          <w:rFonts w:cstheme="minorHAnsi"/>
        </w:rPr>
        <w:t xml:space="preserve">), on </w:t>
      </w:r>
      <w:r w:rsidR="0030641F" w:rsidRPr="00B74333">
        <w:rPr>
          <w:rFonts w:cstheme="minorHAnsi"/>
        </w:rPr>
        <w:t>24</w:t>
      </w:r>
      <w:r w:rsidR="005C5F8F" w:rsidRPr="00B74333">
        <w:rPr>
          <w:rFonts w:cstheme="minorHAnsi"/>
        </w:rPr>
        <w:t>.</w:t>
      </w:r>
      <w:r w:rsidR="0030641F" w:rsidRPr="00B74333">
        <w:rPr>
          <w:rFonts w:cstheme="minorHAnsi"/>
        </w:rPr>
        <w:t>06</w:t>
      </w:r>
      <w:r w:rsidR="005C5F8F" w:rsidRPr="00B74333">
        <w:rPr>
          <w:rFonts w:cstheme="minorHAnsi"/>
        </w:rPr>
        <w:t>.202</w:t>
      </w:r>
      <w:r w:rsidR="0030641F" w:rsidRPr="00B74333">
        <w:rPr>
          <w:rFonts w:cstheme="minorHAnsi"/>
        </w:rPr>
        <w:t>4</w:t>
      </w:r>
      <w:r w:rsidR="00C33BB7" w:rsidRPr="00B74333">
        <w:rPr>
          <w:rFonts w:cstheme="minorHAnsi"/>
        </w:rPr>
        <w:t>.</w:t>
      </w:r>
      <w:r w:rsidR="00317F53" w:rsidRPr="00B74333">
        <w:rPr>
          <w:rFonts w:cstheme="minorHAnsi"/>
        </w:rPr>
        <w:t xml:space="preserve"> The </w:t>
      </w:r>
      <w:r w:rsidR="004D6EE3" w:rsidRPr="00B74333">
        <w:rPr>
          <w:rFonts w:cstheme="minorHAnsi"/>
        </w:rPr>
        <w:t>Information</w:t>
      </w:r>
      <w:r w:rsidR="00317F53" w:rsidRPr="00B74333">
        <w:rPr>
          <w:rFonts w:cstheme="minorHAnsi"/>
        </w:rPr>
        <w:t xml:space="preserve"> Phase closes at the </w:t>
      </w:r>
      <w:r w:rsidR="0008222B" w:rsidRPr="00B74333">
        <w:rPr>
          <w:rFonts w:cstheme="minorHAnsi"/>
        </w:rPr>
        <w:t>beginning</w:t>
      </w:r>
      <w:r w:rsidR="00317F53" w:rsidRPr="00B74333">
        <w:rPr>
          <w:rFonts w:cstheme="minorHAnsi"/>
        </w:rPr>
        <w:t xml:space="preserve"> of day, local time </w:t>
      </w:r>
      <w:r w:rsidR="00521D7B" w:rsidRPr="00B74333">
        <w:rPr>
          <w:rFonts w:cstheme="minorHAnsi"/>
        </w:rPr>
        <w:t xml:space="preserve">in Greece </w:t>
      </w:r>
      <w:r w:rsidR="00317F53" w:rsidRPr="00B74333">
        <w:rPr>
          <w:rFonts w:cstheme="minorHAnsi"/>
        </w:rPr>
        <w:t>(</w:t>
      </w:r>
      <w:r w:rsidR="00D56C6E" w:rsidRPr="00B74333">
        <w:rPr>
          <w:rFonts w:cstheme="minorHAnsi"/>
        </w:rPr>
        <w:t>EE</w:t>
      </w:r>
      <w:r w:rsidR="008E701C" w:rsidRPr="00B74333">
        <w:rPr>
          <w:rFonts w:cstheme="minorHAnsi"/>
        </w:rPr>
        <w:t>S</w:t>
      </w:r>
      <w:r w:rsidR="00D56C6E" w:rsidRPr="00B74333">
        <w:rPr>
          <w:rFonts w:cstheme="minorHAnsi"/>
        </w:rPr>
        <w:t>T</w:t>
      </w:r>
      <w:r w:rsidR="00317F53" w:rsidRPr="00B74333">
        <w:rPr>
          <w:rFonts w:cstheme="minorHAnsi"/>
        </w:rPr>
        <w:t xml:space="preserve">), on </w:t>
      </w:r>
      <w:r w:rsidR="00253EA2" w:rsidRPr="00B74333">
        <w:rPr>
          <w:rFonts w:cstheme="minorHAnsi"/>
        </w:rPr>
        <w:t>01</w:t>
      </w:r>
      <w:r w:rsidR="00C21795" w:rsidRPr="00B74333">
        <w:rPr>
          <w:rFonts w:cstheme="minorHAnsi"/>
        </w:rPr>
        <w:t>.</w:t>
      </w:r>
      <w:r w:rsidR="00253EA2" w:rsidRPr="00B74333">
        <w:rPr>
          <w:rFonts w:cstheme="minorHAnsi"/>
        </w:rPr>
        <w:t>07</w:t>
      </w:r>
      <w:r w:rsidR="00C21795" w:rsidRPr="00B74333">
        <w:rPr>
          <w:rFonts w:cstheme="minorHAnsi"/>
        </w:rPr>
        <w:t>.202</w:t>
      </w:r>
      <w:r w:rsidR="00253EA2" w:rsidRPr="00B74333">
        <w:rPr>
          <w:rFonts w:cstheme="minorHAnsi"/>
        </w:rPr>
        <w:t>4</w:t>
      </w:r>
      <w:r w:rsidR="00317F53" w:rsidRPr="00B74333">
        <w:rPr>
          <w:rFonts w:cstheme="minorHAnsi"/>
        </w:rPr>
        <w:t>.</w:t>
      </w:r>
    </w:p>
    <w:p w14:paraId="2FD7DC93" w14:textId="09261EFC" w:rsidR="000D0EF1" w:rsidRPr="00B74333" w:rsidRDefault="000D0EF1">
      <w:pPr>
        <w:pStyle w:val="ListParagraph"/>
        <w:widowControl w:val="0"/>
        <w:numPr>
          <w:ilvl w:val="1"/>
          <w:numId w:val="20"/>
        </w:numPr>
        <w:suppressAutoHyphens/>
        <w:spacing w:before="120" w:after="120" w:line="360" w:lineRule="auto"/>
        <w:ind w:left="426" w:hanging="568"/>
        <w:jc w:val="both"/>
        <w:rPr>
          <w:rFonts w:cstheme="minorHAnsi"/>
          <w:u w:color="000000"/>
        </w:rPr>
      </w:pPr>
      <w:r w:rsidRPr="00B74333">
        <w:rPr>
          <w:rFonts w:cstheme="minorHAnsi"/>
        </w:rPr>
        <w:t>No later than</w:t>
      </w:r>
      <w:r w:rsidR="004B01AB" w:rsidRPr="00B74333">
        <w:rPr>
          <w:rFonts w:cstheme="minorHAnsi"/>
        </w:rPr>
        <w:t xml:space="preserve"> </w:t>
      </w:r>
      <w:r w:rsidR="00AD2ED3" w:rsidRPr="00B74333">
        <w:rPr>
          <w:rFonts w:cstheme="minorHAnsi"/>
        </w:rPr>
        <w:t>twenty</w:t>
      </w:r>
      <w:r w:rsidR="00D41C89" w:rsidRPr="00B74333">
        <w:rPr>
          <w:rFonts w:cstheme="minorHAnsi"/>
        </w:rPr>
        <w:t xml:space="preserve"> (20)</w:t>
      </w:r>
      <w:r w:rsidRPr="00B74333">
        <w:rPr>
          <w:rFonts w:cstheme="minorHAnsi"/>
        </w:rPr>
        <w:t xml:space="preserve"> Days before the expiration of the Registration Deadline, requests for clarification</w:t>
      </w:r>
      <w:r w:rsidR="00277F54" w:rsidRPr="00B74333">
        <w:rPr>
          <w:rFonts w:cstheme="minorHAnsi"/>
        </w:rPr>
        <w:t>s</w:t>
      </w:r>
      <w:r w:rsidRPr="00B74333">
        <w:rPr>
          <w:rFonts w:cstheme="minorHAnsi"/>
        </w:rPr>
        <w:t xml:space="preserve"> exclusively regarding the provisions of the Joint Notice</w:t>
      </w:r>
      <w:r w:rsidR="00AF5856" w:rsidRPr="00B74333">
        <w:rPr>
          <w:rFonts w:cstheme="minorHAnsi"/>
        </w:rPr>
        <w:t>s</w:t>
      </w:r>
      <w:r w:rsidR="00C866C9" w:rsidRPr="00B74333">
        <w:rPr>
          <w:rFonts w:cstheme="minorHAnsi"/>
        </w:rPr>
        <w:t>, the Guidelines</w:t>
      </w:r>
      <w:r w:rsidRPr="00B74333">
        <w:rPr>
          <w:rFonts w:cstheme="minorHAnsi"/>
        </w:rPr>
        <w:t xml:space="preserve"> or the Project Proposal</w:t>
      </w:r>
      <w:r w:rsidR="00C866C9" w:rsidRPr="00B74333">
        <w:rPr>
          <w:rFonts w:cstheme="minorHAnsi"/>
        </w:rPr>
        <w:t>s</w:t>
      </w:r>
      <w:r w:rsidRPr="00B74333">
        <w:rPr>
          <w:rFonts w:cstheme="minorHAnsi"/>
        </w:rPr>
        <w:t>, can be addressed to the following email address:</w:t>
      </w:r>
      <w:r w:rsidR="002D7D01" w:rsidRPr="00B74333">
        <w:rPr>
          <w:rFonts w:cstheme="minorHAnsi"/>
        </w:rPr>
        <w:t xml:space="preserve"> </w:t>
      </w:r>
      <w:hyperlink r:id="rId14" w:history="1">
        <w:r w:rsidR="000417B4" w:rsidRPr="00B74333">
          <w:rPr>
            <w:rStyle w:val="Hyperlink"/>
            <w:rFonts w:cstheme="minorHAnsi"/>
          </w:rPr>
          <w:t>market-test@desfa.gr</w:t>
        </w:r>
      </w:hyperlink>
      <w:r w:rsidR="001D00D6" w:rsidRPr="00B74333">
        <w:rPr>
          <w:rFonts w:cstheme="minorHAnsi"/>
        </w:rPr>
        <w:t>.</w:t>
      </w:r>
      <w:r w:rsidR="000417B4" w:rsidRPr="00B74333">
        <w:rPr>
          <w:rFonts w:cstheme="minorHAnsi"/>
        </w:rPr>
        <w:t xml:space="preserve"> </w:t>
      </w:r>
      <w:r w:rsidR="00287B91" w:rsidRPr="00B74333">
        <w:rPr>
          <w:rFonts w:cstheme="minorHAnsi"/>
        </w:rPr>
        <w:t xml:space="preserve">Within </w:t>
      </w:r>
      <w:r w:rsidR="00AD2ED3" w:rsidRPr="00B74333">
        <w:rPr>
          <w:rFonts w:cstheme="minorHAnsi"/>
        </w:rPr>
        <w:t>five</w:t>
      </w:r>
      <w:r w:rsidR="00D41C89" w:rsidRPr="00B74333">
        <w:rPr>
          <w:rFonts w:cstheme="minorHAnsi"/>
        </w:rPr>
        <w:t xml:space="preserve"> (5)</w:t>
      </w:r>
      <w:r w:rsidR="00287B91" w:rsidRPr="00B74333">
        <w:rPr>
          <w:rFonts w:cstheme="minorHAnsi"/>
        </w:rPr>
        <w:t xml:space="preserve"> Business Days from its receipt, DESFA shall provide said clarifications by uploading them, </w:t>
      </w:r>
      <w:r w:rsidR="00790706" w:rsidRPr="00B74333">
        <w:rPr>
          <w:rFonts w:cstheme="minorHAnsi"/>
        </w:rPr>
        <w:t xml:space="preserve">if </w:t>
      </w:r>
      <w:r w:rsidR="00CA7A85" w:rsidRPr="00B74333">
        <w:rPr>
          <w:rFonts w:cstheme="minorHAnsi"/>
        </w:rPr>
        <w:t>necessary</w:t>
      </w:r>
      <w:r w:rsidR="00790706" w:rsidRPr="00B74333">
        <w:rPr>
          <w:rFonts w:cstheme="minorHAnsi"/>
        </w:rPr>
        <w:t>,</w:t>
      </w:r>
      <w:r w:rsidR="00CA7A85" w:rsidRPr="00B74333">
        <w:rPr>
          <w:rFonts w:cstheme="minorHAnsi"/>
        </w:rPr>
        <w:t xml:space="preserve"> </w:t>
      </w:r>
      <w:r w:rsidR="00287B91" w:rsidRPr="00B74333">
        <w:rPr>
          <w:rFonts w:cstheme="minorHAnsi"/>
        </w:rPr>
        <w:t xml:space="preserve">to DESFA’s website without disclosing the </w:t>
      </w:r>
      <w:proofErr w:type="gramStart"/>
      <w:r w:rsidR="00287B91" w:rsidRPr="00B74333">
        <w:rPr>
          <w:rFonts w:cstheme="minorHAnsi"/>
        </w:rPr>
        <w:t>requesting</w:t>
      </w:r>
      <w:proofErr w:type="gramEnd"/>
      <w:r w:rsidR="00287B91" w:rsidRPr="00B74333">
        <w:rPr>
          <w:rFonts w:cstheme="minorHAnsi"/>
        </w:rPr>
        <w:t xml:space="preserve"> </w:t>
      </w:r>
      <w:r w:rsidR="000F7288" w:rsidRPr="00B74333">
        <w:rPr>
          <w:rFonts w:cstheme="minorHAnsi"/>
        </w:rPr>
        <w:t>A</w:t>
      </w:r>
      <w:r w:rsidR="00C57E89" w:rsidRPr="00B74333">
        <w:rPr>
          <w:rFonts w:cstheme="minorHAnsi"/>
        </w:rPr>
        <w:t>pplicant</w:t>
      </w:r>
      <w:r w:rsidR="00287B91" w:rsidRPr="00B74333">
        <w:rPr>
          <w:rFonts w:cstheme="minorHAnsi"/>
        </w:rPr>
        <w:t>’s identity.</w:t>
      </w:r>
    </w:p>
    <w:p w14:paraId="0735CD65" w14:textId="43AA9FD6" w:rsidR="001A537A" w:rsidRPr="00B74333" w:rsidRDefault="00C57E89">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Applicants</w:t>
      </w:r>
      <w:r w:rsidR="007265C7" w:rsidRPr="00B74333">
        <w:rPr>
          <w:rFonts w:cstheme="minorHAnsi"/>
        </w:rPr>
        <w:t xml:space="preserve"> </w:t>
      </w:r>
      <w:r w:rsidR="00FB752C" w:rsidRPr="00B74333">
        <w:rPr>
          <w:rFonts w:cstheme="minorHAnsi"/>
        </w:rPr>
        <w:t>must</w:t>
      </w:r>
      <w:r w:rsidR="007265C7" w:rsidRPr="00B74333">
        <w:rPr>
          <w:rFonts w:cstheme="minorHAnsi"/>
        </w:rPr>
        <w:t xml:space="preserve"> submit along with </w:t>
      </w:r>
      <w:r w:rsidR="000F7288" w:rsidRPr="00B74333">
        <w:rPr>
          <w:rFonts w:cstheme="minorHAnsi"/>
        </w:rPr>
        <w:t>their</w:t>
      </w:r>
      <w:r w:rsidR="007265C7" w:rsidRPr="00B74333">
        <w:rPr>
          <w:rFonts w:cstheme="minorHAnsi"/>
        </w:rPr>
        <w:t xml:space="preserve"> Registration Form</w:t>
      </w:r>
      <w:r w:rsidR="00464B65" w:rsidRPr="00B74333">
        <w:rPr>
          <w:rFonts w:cstheme="minorHAnsi"/>
        </w:rPr>
        <w:t>,</w:t>
      </w:r>
      <w:r w:rsidR="007265C7" w:rsidRPr="00B74333">
        <w:rPr>
          <w:rFonts w:cstheme="minorHAnsi"/>
        </w:rPr>
        <w:t xml:space="preserve"> the documents </w:t>
      </w:r>
      <w:r w:rsidR="00267A30" w:rsidRPr="00B74333">
        <w:rPr>
          <w:rFonts w:cstheme="minorHAnsi"/>
        </w:rPr>
        <w:t xml:space="preserve">required as described therein and according to the directions </w:t>
      </w:r>
      <w:r w:rsidR="007265C7" w:rsidRPr="00B74333">
        <w:rPr>
          <w:rFonts w:cstheme="minorHAnsi"/>
        </w:rPr>
        <w:t xml:space="preserve">provided for in Annex </w:t>
      </w:r>
      <w:r w:rsidRPr="00B74333">
        <w:rPr>
          <w:rFonts w:cstheme="minorHAnsi"/>
        </w:rPr>
        <w:t>I</w:t>
      </w:r>
      <w:r w:rsidR="004214AD" w:rsidRPr="00B74333">
        <w:rPr>
          <w:rFonts w:cstheme="minorHAnsi"/>
        </w:rPr>
        <w:t>I</w:t>
      </w:r>
      <w:r w:rsidR="00C52917" w:rsidRPr="00B74333">
        <w:rPr>
          <w:rFonts w:cstheme="minorHAnsi"/>
        </w:rPr>
        <w:t>. The Registration Form</w:t>
      </w:r>
      <w:r w:rsidR="004F791A" w:rsidRPr="00B74333">
        <w:rPr>
          <w:rFonts w:cstheme="minorHAnsi"/>
        </w:rPr>
        <w:t>,</w:t>
      </w:r>
      <w:r w:rsidR="00C52917" w:rsidRPr="00B74333">
        <w:rPr>
          <w:rFonts w:cstheme="minorHAnsi"/>
        </w:rPr>
        <w:t xml:space="preserve"> along with </w:t>
      </w:r>
      <w:r w:rsidR="004F791A" w:rsidRPr="00B74333">
        <w:rPr>
          <w:rFonts w:cstheme="minorHAnsi"/>
        </w:rPr>
        <w:t xml:space="preserve">its accompanying </w:t>
      </w:r>
      <w:r w:rsidR="00C52917" w:rsidRPr="00B74333">
        <w:rPr>
          <w:rFonts w:cstheme="minorHAnsi"/>
        </w:rPr>
        <w:t xml:space="preserve">documents, should be submitted in a sealed package, up until the Registration </w:t>
      </w:r>
      <w:r w:rsidR="001E39C0" w:rsidRPr="00B74333">
        <w:rPr>
          <w:rFonts w:cstheme="minorHAnsi"/>
        </w:rPr>
        <w:t>Deadline, on</w:t>
      </w:r>
      <w:r w:rsidR="007265C7" w:rsidRPr="00B74333">
        <w:rPr>
          <w:rFonts w:cstheme="minorHAnsi"/>
        </w:rPr>
        <w:t xml:space="preserve"> which shall be mentioned</w:t>
      </w:r>
      <w:r w:rsidR="0073104C" w:rsidRPr="00B74333">
        <w:rPr>
          <w:rFonts w:cstheme="minorHAnsi"/>
        </w:rPr>
        <w:t>:</w:t>
      </w:r>
    </w:p>
    <w:p w14:paraId="361554F0" w14:textId="26140391" w:rsidR="009C2A57" w:rsidRPr="00B74333" w:rsidRDefault="009C2A57">
      <w:pPr>
        <w:numPr>
          <w:ilvl w:val="0"/>
          <w:numId w:val="14"/>
        </w:numPr>
        <w:spacing w:after="100" w:afterAutospacing="1" w:line="276" w:lineRule="auto"/>
        <w:ind w:left="850" w:right="6" w:hanging="357"/>
        <w:jc w:val="both"/>
        <w:rPr>
          <w:rFonts w:cstheme="minorHAnsi"/>
        </w:rPr>
      </w:pPr>
      <w:r w:rsidRPr="00B74333">
        <w:rPr>
          <w:rFonts w:cstheme="minorHAnsi"/>
        </w:rPr>
        <w:t xml:space="preserve">“Registration Form </w:t>
      </w:r>
      <w:r w:rsidR="00164EBB" w:rsidRPr="00B74333">
        <w:rPr>
          <w:rFonts w:cstheme="minorHAnsi"/>
        </w:rPr>
        <w:t xml:space="preserve">for the </w:t>
      </w:r>
      <w:r w:rsidR="00AA75FE" w:rsidRPr="00B74333">
        <w:rPr>
          <w:rFonts w:cstheme="minorHAnsi"/>
        </w:rPr>
        <w:t xml:space="preserve">Market Test </w:t>
      </w:r>
      <w:r w:rsidR="00164EBB" w:rsidRPr="00B74333">
        <w:rPr>
          <w:rFonts w:cstheme="minorHAnsi"/>
        </w:rPr>
        <w:t>Process</w:t>
      </w:r>
      <w:r w:rsidRPr="00B74333">
        <w:rPr>
          <w:rFonts w:cstheme="minorHAnsi"/>
        </w:rPr>
        <w:t xml:space="preserve">” </w:t>
      </w:r>
    </w:p>
    <w:p w14:paraId="6B684C55" w14:textId="77777777" w:rsidR="009C2A57" w:rsidRPr="00B74333" w:rsidRDefault="009C794C">
      <w:pPr>
        <w:numPr>
          <w:ilvl w:val="0"/>
          <w:numId w:val="14"/>
        </w:numPr>
        <w:spacing w:after="100" w:afterAutospacing="1" w:line="276" w:lineRule="auto"/>
        <w:ind w:left="850" w:right="6" w:hanging="357"/>
        <w:jc w:val="both"/>
        <w:rPr>
          <w:rFonts w:cstheme="minorHAnsi"/>
        </w:rPr>
      </w:pPr>
      <w:r w:rsidRPr="00B74333">
        <w:rPr>
          <w:rFonts w:cstheme="minorHAnsi"/>
        </w:rPr>
        <w:t>Applicant’s</w:t>
      </w:r>
      <w:r w:rsidR="00220337" w:rsidRPr="00B74333">
        <w:rPr>
          <w:rFonts w:cstheme="minorHAnsi"/>
        </w:rPr>
        <w:t xml:space="preserve"> </w:t>
      </w:r>
      <w:r w:rsidR="009C2A57" w:rsidRPr="00B74333">
        <w:rPr>
          <w:rFonts w:cstheme="minorHAnsi"/>
        </w:rPr>
        <w:t>company name, business residence, telephone number and e-mail address.</w:t>
      </w:r>
    </w:p>
    <w:p w14:paraId="1B454E38" w14:textId="77777777" w:rsidR="00AA2586" w:rsidRPr="00B74333" w:rsidRDefault="00B83C44">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App</w:t>
      </w:r>
      <w:r w:rsidR="00C437EB" w:rsidRPr="00B74333">
        <w:rPr>
          <w:rFonts w:cstheme="minorHAnsi"/>
        </w:rPr>
        <w:t>licants</w:t>
      </w:r>
      <w:r w:rsidR="00AA2586" w:rsidRPr="00B74333">
        <w:rPr>
          <w:rFonts w:cstheme="minorHAnsi"/>
        </w:rPr>
        <w:t xml:space="preserve"> shall submit </w:t>
      </w:r>
      <w:r w:rsidR="00EE4A2E" w:rsidRPr="00B74333">
        <w:rPr>
          <w:rFonts w:cstheme="minorHAnsi"/>
        </w:rPr>
        <w:t xml:space="preserve">the documents of </w:t>
      </w:r>
      <w:r w:rsidR="00C437EB" w:rsidRPr="00B74333">
        <w:rPr>
          <w:rFonts w:cstheme="minorHAnsi"/>
        </w:rPr>
        <w:t xml:space="preserve">Article </w:t>
      </w:r>
      <w:r w:rsidR="00EE4A2E" w:rsidRPr="00B74333">
        <w:rPr>
          <w:rFonts w:cstheme="minorHAnsi"/>
        </w:rPr>
        <w:t>5.6</w:t>
      </w:r>
      <w:r w:rsidR="00AA2586" w:rsidRPr="00B74333">
        <w:rPr>
          <w:rFonts w:cstheme="minorHAnsi"/>
        </w:rPr>
        <w:t xml:space="preserve"> not later than the Registration Deadline. After the Registration Deadline, no additional document shall be accepted for any reason.</w:t>
      </w:r>
      <w:r w:rsidR="00A66248" w:rsidRPr="00B74333">
        <w:rPr>
          <w:rFonts w:cstheme="minorHAnsi"/>
        </w:rPr>
        <w:t xml:space="preserve"> </w:t>
      </w:r>
      <w:r w:rsidR="00D01428" w:rsidRPr="00B74333">
        <w:rPr>
          <w:rFonts w:cstheme="minorHAnsi"/>
        </w:rPr>
        <w:t>For the timely submission of the Registration Form</w:t>
      </w:r>
      <w:r w:rsidR="004C42C4" w:rsidRPr="00B74333">
        <w:rPr>
          <w:rFonts w:cstheme="minorHAnsi"/>
        </w:rPr>
        <w:t>,</w:t>
      </w:r>
      <w:r w:rsidR="00D01428" w:rsidRPr="00B74333">
        <w:rPr>
          <w:rFonts w:cstheme="minorHAnsi"/>
        </w:rPr>
        <w:t xml:space="preserve"> </w:t>
      </w:r>
      <w:r w:rsidR="004C42C4" w:rsidRPr="00B74333">
        <w:rPr>
          <w:rFonts w:cstheme="minorHAnsi"/>
        </w:rPr>
        <w:t xml:space="preserve">the date and time of its submission in the DESFA Protocol </w:t>
      </w:r>
      <w:r w:rsidR="00A66248" w:rsidRPr="00B74333">
        <w:rPr>
          <w:rFonts w:cstheme="minorHAnsi"/>
        </w:rPr>
        <w:t>shall</w:t>
      </w:r>
      <w:r w:rsidR="004C42C4" w:rsidRPr="00B74333">
        <w:rPr>
          <w:rFonts w:cstheme="minorHAnsi"/>
        </w:rPr>
        <w:t xml:space="preserve"> be</w:t>
      </w:r>
      <w:r w:rsidR="00A66248" w:rsidRPr="00B74333">
        <w:rPr>
          <w:rFonts w:cstheme="minorHAnsi"/>
        </w:rPr>
        <w:t xml:space="preserve"> </w:t>
      </w:r>
      <w:proofErr w:type="gramStart"/>
      <w:r w:rsidR="00A66248" w:rsidRPr="00B74333">
        <w:rPr>
          <w:rFonts w:cstheme="minorHAnsi"/>
        </w:rPr>
        <w:t>take</w:t>
      </w:r>
      <w:r w:rsidR="004C42C4" w:rsidRPr="00B74333">
        <w:rPr>
          <w:rFonts w:cstheme="minorHAnsi"/>
        </w:rPr>
        <w:t>n</w:t>
      </w:r>
      <w:r w:rsidR="00A66248" w:rsidRPr="00B74333">
        <w:rPr>
          <w:rFonts w:cstheme="minorHAnsi"/>
        </w:rPr>
        <w:t xml:space="preserve"> into account</w:t>
      </w:r>
      <w:proofErr w:type="gramEnd"/>
      <w:r w:rsidR="00A66248" w:rsidRPr="00B74333">
        <w:rPr>
          <w:rFonts w:cstheme="minorHAnsi"/>
        </w:rPr>
        <w:t xml:space="preserve"> and not the date of sending the </w:t>
      </w:r>
      <w:r w:rsidR="00A22E30" w:rsidRPr="00B74333">
        <w:rPr>
          <w:rFonts w:cstheme="minorHAnsi"/>
        </w:rPr>
        <w:t>Registration Form</w:t>
      </w:r>
      <w:r w:rsidR="00A66248" w:rsidRPr="00B74333">
        <w:rPr>
          <w:rFonts w:cstheme="minorHAnsi"/>
        </w:rPr>
        <w:t xml:space="preserve">. In </w:t>
      </w:r>
      <w:proofErr w:type="gramStart"/>
      <w:r w:rsidR="00A66248" w:rsidRPr="00B74333">
        <w:rPr>
          <w:rFonts w:cstheme="minorHAnsi"/>
        </w:rPr>
        <w:t>case</w:t>
      </w:r>
      <w:proofErr w:type="gramEnd"/>
      <w:r w:rsidR="00A66248" w:rsidRPr="00B74333">
        <w:rPr>
          <w:rFonts w:cstheme="minorHAnsi"/>
        </w:rPr>
        <w:t xml:space="preserve"> of submission by courier, DESFA is not responsible for the timely submission of the </w:t>
      </w:r>
      <w:r w:rsidR="00A22E30" w:rsidRPr="00B74333">
        <w:rPr>
          <w:rFonts w:cstheme="minorHAnsi"/>
        </w:rPr>
        <w:t>Registration Form or any other document whatsoever</w:t>
      </w:r>
      <w:r w:rsidR="00A66248" w:rsidRPr="00B74333">
        <w:rPr>
          <w:rFonts w:cstheme="minorHAnsi"/>
        </w:rPr>
        <w:t>.</w:t>
      </w:r>
      <w:r w:rsidR="00AA2586" w:rsidRPr="00B74333">
        <w:rPr>
          <w:rFonts w:cstheme="minorHAnsi"/>
        </w:rPr>
        <w:t xml:space="preserve"> Registration </w:t>
      </w:r>
      <w:r w:rsidR="00073463" w:rsidRPr="00B74333">
        <w:rPr>
          <w:rFonts w:cstheme="minorHAnsi"/>
        </w:rPr>
        <w:t xml:space="preserve">Form and related </w:t>
      </w:r>
      <w:r w:rsidR="00AA2586" w:rsidRPr="00B74333">
        <w:rPr>
          <w:rFonts w:cstheme="minorHAnsi"/>
        </w:rPr>
        <w:t xml:space="preserve">documents submitted later than the Registration Deadline shall not be accepted by DESFA, regardless of the reason for the late submission. </w:t>
      </w:r>
      <w:r w:rsidR="00A22E30" w:rsidRPr="00B74333">
        <w:rPr>
          <w:rFonts w:cstheme="minorHAnsi"/>
        </w:rPr>
        <w:t xml:space="preserve"> </w:t>
      </w:r>
      <w:r w:rsidR="004C42C4" w:rsidRPr="00B74333">
        <w:rPr>
          <w:rFonts w:cstheme="minorHAnsi"/>
        </w:rPr>
        <w:t xml:space="preserve"> </w:t>
      </w:r>
    </w:p>
    <w:p w14:paraId="4CD67F34" w14:textId="110E509D" w:rsidR="009F6984" w:rsidRPr="00B74333" w:rsidRDefault="000315C3">
      <w:pPr>
        <w:pStyle w:val="ListParagraph"/>
        <w:widowControl w:val="0"/>
        <w:numPr>
          <w:ilvl w:val="1"/>
          <w:numId w:val="20"/>
        </w:numPr>
        <w:suppressAutoHyphens/>
        <w:spacing w:before="120" w:after="120" w:line="360" w:lineRule="auto"/>
        <w:ind w:left="426" w:hanging="568"/>
        <w:jc w:val="both"/>
        <w:rPr>
          <w:rFonts w:cstheme="minorHAnsi"/>
        </w:rPr>
      </w:pPr>
      <w:bookmarkStart w:id="44" w:name="_Hlk71884728"/>
      <w:r w:rsidRPr="00B74333">
        <w:rPr>
          <w:rFonts w:eastAsia="Times New Roman" w:cstheme="minorHAnsi"/>
          <w:lang w:eastAsia="nl-NL"/>
        </w:rPr>
        <w:t xml:space="preserve">In </w:t>
      </w:r>
      <w:r w:rsidR="00700F18" w:rsidRPr="00B74333">
        <w:rPr>
          <w:rFonts w:eastAsia="Times New Roman" w:cstheme="minorHAnsi"/>
          <w:lang w:eastAsia="nl-NL"/>
        </w:rPr>
        <w:t>the case</w:t>
      </w:r>
      <w:r w:rsidRPr="00B74333">
        <w:rPr>
          <w:rFonts w:eastAsia="Times New Roman" w:cstheme="minorHAnsi"/>
          <w:lang w:eastAsia="nl-NL"/>
        </w:rPr>
        <w:t xml:space="preserve"> of submission of private documents,</w:t>
      </w:r>
      <w:r w:rsidR="00D26BC5" w:rsidRPr="00B74333">
        <w:rPr>
          <w:rFonts w:eastAsia="Times New Roman" w:cstheme="minorHAnsi"/>
          <w:lang w:eastAsia="nl-NL"/>
        </w:rPr>
        <w:t xml:space="preserve"> including the Registration Form,</w:t>
      </w:r>
      <w:r w:rsidRPr="00B74333">
        <w:rPr>
          <w:rFonts w:eastAsia="Times New Roman" w:cstheme="minorHAnsi"/>
          <w:lang w:eastAsia="nl-NL"/>
        </w:rPr>
        <w:t xml:space="preserve"> </w:t>
      </w:r>
      <w:r w:rsidR="00A05879" w:rsidRPr="00B74333">
        <w:rPr>
          <w:rFonts w:eastAsia="Times New Roman" w:cstheme="minorHAnsi"/>
          <w:lang w:eastAsia="nl-NL"/>
        </w:rPr>
        <w:t xml:space="preserve">these </w:t>
      </w:r>
      <w:r w:rsidRPr="00B74333">
        <w:rPr>
          <w:rFonts w:eastAsia="Times New Roman" w:cstheme="minorHAnsi"/>
          <w:lang w:eastAsia="nl-NL"/>
        </w:rPr>
        <w:t xml:space="preserve">are required to bear a certificate of authenticity of the signature of the signatory from </w:t>
      </w:r>
      <w:r w:rsidR="004D5332" w:rsidRPr="00B74333">
        <w:rPr>
          <w:rFonts w:eastAsia="Times New Roman" w:cstheme="minorHAnsi"/>
          <w:lang w:eastAsia="nl-NL"/>
        </w:rPr>
        <w:t>a</w:t>
      </w:r>
      <w:r w:rsidRPr="00B74333">
        <w:rPr>
          <w:rFonts w:eastAsia="Times New Roman" w:cstheme="minorHAnsi"/>
          <w:lang w:eastAsia="nl-NL"/>
        </w:rPr>
        <w:t xml:space="preserve"> competent authority</w:t>
      </w:r>
      <w:r w:rsidR="00517531" w:rsidRPr="00B74333">
        <w:rPr>
          <w:rFonts w:eastAsia="Times New Roman" w:cstheme="minorHAnsi"/>
          <w:lang w:eastAsia="nl-NL"/>
        </w:rPr>
        <w:t xml:space="preserve">. </w:t>
      </w:r>
      <w:r w:rsidR="00105563" w:rsidRPr="00B74333">
        <w:rPr>
          <w:rFonts w:eastAsia="Times New Roman" w:cstheme="minorHAnsi"/>
          <w:lang w:eastAsia="nl-NL"/>
        </w:rPr>
        <w:t xml:space="preserve">The submitted documents coming from a foreign country shall </w:t>
      </w:r>
      <w:r w:rsidR="00D46BBE" w:rsidRPr="00B74333">
        <w:rPr>
          <w:rFonts w:eastAsia="Times New Roman" w:cstheme="minorHAnsi"/>
          <w:lang w:eastAsia="nl-NL"/>
        </w:rPr>
        <w:t xml:space="preserve">also </w:t>
      </w:r>
      <w:r w:rsidR="00105563" w:rsidRPr="00B74333">
        <w:rPr>
          <w:rFonts w:eastAsia="Times New Roman" w:cstheme="minorHAnsi"/>
          <w:lang w:eastAsia="nl-NL"/>
        </w:rPr>
        <w:t xml:space="preserve">bear the note of </w:t>
      </w:r>
      <w:r w:rsidR="00105563" w:rsidRPr="00B74333">
        <w:rPr>
          <w:rFonts w:eastAsia="Times New Roman" w:cstheme="minorHAnsi"/>
          <w:lang w:eastAsia="nl-NL"/>
        </w:rPr>
        <w:lastRenderedPageBreak/>
        <w:t>the Hague Convention (Apostille)</w:t>
      </w:r>
      <w:r w:rsidR="00D46BBE" w:rsidRPr="00B74333">
        <w:rPr>
          <w:rFonts w:eastAsia="Times New Roman" w:cstheme="minorHAnsi"/>
          <w:lang w:eastAsia="nl-NL"/>
        </w:rPr>
        <w:t xml:space="preserve"> </w:t>
      </w:r>
      <w:r w:rsidR="00E44BE2" w:rsidRPr="00B74333">
        <w:rPr>
          <w:rFonts w:cstheme="minorHAnsi"/>
        </w:rPr>
        <w:t>and</w:t>
      </w:r>
      <w:r w:rsidR="00E44BE2" w:rsidRPr="00B74333">
        <w:rPr>
          <w:rFonts w:eastAsia="Times New Roman" w:cstheme="minorHAnsi"/>
          <w:lang w:eastAsia="nl-NL"/>
        </w:rPr>
        <w:t xml:space="preserve"> </w:t>
      </w:r>
      <w:r w:rsidR="00A9191B" w:rsidRPr="00B74333">
        <w:rPr>
          <w:rFonts w:eastAsia="Times New Roman" w:cstheme="minorHAnsi"/>
          <w:lang w:eastAsia="nl-NL"/>
        </w:rPr>
        <w:t>must be submitted in an official translation into the Greek language.</w:t>
      </w:r>
    </w:p>
    <w:bookmarkEnd w:id="44"/>
    <w:p w14:paraId="5BDAC4F5" w14:textId="60CB0E59" w:rsidR="00817545" w:rsidRPr="00B74333" w:rsidRDefault="00700F18" w:rsidP="00837724">
      <w:pPr>
        <w:pStyle w:val="ListParagraph"/>
        <w:widowControl w:val="0"/>
        <w:suppressAutoHyphens/>
        <w:spacing w:before="120" w:after="120" w:line="360" w:lineRule="auto"/>
        <w:ind w:left="426"/>
        <w:jc w:val="both"/>
        <w:rPr>
          <w:rFonts w:cstheme="minorHAnsi"/>
        </w:rPr>
      </w:pPr>
      <w:r w:rsidRPr="00B74333">
        <w:rPr>
          <w:rFonts w:eastAsia="Times New Roman" w:cstheme="minorHAnsi"/>
          <w:lang w:eastAsia="nl-NL"/>
        </w:rPr>
        <w:t>In the case of d</w:t>
      </w:r>
      <w:r w:rsidR="001854E5" w:rsidRPr="00B74333">
        <w:rPr>
          <w:rFonts w:eastAsia="Times New Roman" w:cstheme="minorHAnsi"/>
          <w:lang w:eastAsia="nl-NL"/>
        </w:rPr>
        <w:t>ocuments bearing authorized electronic signatures</w:t>
      </w:r>
      <w:r w:rsidR="003625AF" w:rsidRPr="00B74333">
        <w:rPr>
          <w:rFonts w:eastAsia="Times New Roman" w:cstheme="minorHAnsi"/>
          <w:lang w:eastAsia="nl-NL"/>
        </w:rPr>
        <w:t>, these</w:t>
      </w:r>
      <w:r w:rsidR="001854E5" w:rsidRPr="00B74333">
        <w:rPr>
          <w:rFonts w:eastAsia="Times New Roman" w:cstheme="minorHAnsi"/>
          <w:lang w:eastAsia="nl-NL"/>
        </w:rPr>
        <w:t xml:space="preserve"> </w:t>
      </w:r>
      <w:r w:rsidR="007D0E3D" w:rsidRPr="00B74333">
        <w:rPr>
          <w:rFonts w:eastAsia="Times New Roman" w:cstheme="minorHAnsi"/>
          <w:lang w:eastAsia="nl-NL"/>
        </w:rPr>
        <w:t xml:space="preserve">must </w:t>
      </w:r>
      <w:r w:rsidR="001854E5" w:rsidRPr="00B74333">
        <w:rPr>
          <w:rFonts w:eastAsia="Times New Roman" w:cstheme="minorHAnsi"/>
          <w:lang w:eastAsia="nl-NL"/>
        </w:rPr>
        <w:t>be submitted as hard copies following the provisions of law 4727/2020. Specifically, printed original electronic public document or electronic exact copy or digitized electronic copy are accepted in accordance with the provisions of article 14 of law 4727/2020. Printed private documents, issued by natural or legal persons or legal entities, using an authorized electronic signature or an approved electronic stamp are accepted if they are certified as true copies of the electronic documents in accordance with the article 15 of law 4727/2020</w:t>
      </w:r>
      <w:r w:rsidR="00FD6420" w:rsidRPr="00B74333">
        <w:rPr>
          <w:rFonts w:eastAsia="Times New Roman" w:cstheme="minorHAnsi"/>
          <w:lang w:eastAsia="nl-NL"/>
        </w:rPr>
        <w:t>.</w:t>
      </w:r>
    </w:p>
    <w:p w14:paraId="72C2C763" w14:textId="194716FE" w:rsidR="006D2A55" w:rsidRPr="00B74333" w:rsidRDefault="003F4944">
      <w:pPr>
        <w:pStyle w:val="ListParagraph"/>
        <w:widowControl w:val="0"/>
        <w:numPr>
          <w:ilvl w:val="1"/>
          <w:numId w:val="20"/>
        </w:numPr>
        <w:suppressAutoHyphens/>
        <w:spacing w:before="120" w:after="120" w:line="360" w:lineRule="auto"/>
        <w:ind w:left="426" w:hanging="568"/>
        <w:jc w:val="both"/>
        <w:rPr>
          <w:rFonts w:cstheme="minorHAnsi"/>
        </w:rPr>
      </w:pPr>
      <w:r w:rsidRPr="00B74333">
        <w:rPr>
          <w:rFonts w:cstheme="minorHAnsi"/>
        </w:rPr>
        <w:t>After</w:t>
      </w:r>
      <w:r w:rsidR="005D2E2E" w:rsidRPr="00B74333">
        <w:rPr>
          <w:rFonts w:cstheme="minorHAnsi"/>
        </w:rPr>
        <w:t xml:space="preserve"> the end of the </w:t>
      </w:r>
      <w:r w:rsidR="00F373C8" w:rsidRPr="00B74333">
        <w:rPr>
          <w:rFonts w:cstheme="minorHAnsi"/>
        </w:rPr>
        <w:t xml:space="preserve">Registration </w:t>
      </w:r>
      <w:r w:rsidR="005D2E2E" w:rsidRPr="00B74333">
        <w:rPr>
          <w:rFonts w:cstheme="minorHAnsi"/>
        </w:rPr>
        <w:t>P</w:t>
      </w:r>
      <w:r w:rsidRPr="00B74333">
        <w:rPr>
          <w:rFonts w:cstheme="minorHAnsi"/>
        </w:rPr>
        <w:t>eriod,</w:t>
      </w:r>
      <w:r w:rsidR="005D2E2E" w:rsidRPr="00B74333">
        <w:rPr>
          <w:rFonts w:cstheme="minorHAnsi"/>
        </w:rPr>
        <w:t xml:space="preserve"> </w:t>
      </w:r>
      <w:r w:rsidR="00F32EA8" w:rsidRPr="00B74333">
        <w:rPr>
          <w:rFonts w:cstheme="minorHAnsi"/>
        </w:rPr>
        <w:t xml:space="preserve">DESFA </w:t>
      </w:r>
      <w:r w:rsidR="00C86FA7" w:rsidRPr="00B74333">
        <w:rPr>
          <w:rFonts w:cstheme="minorHAnsi"/>
        </w:rPr>
        <w:t>shall</w:t>
      </w:r>
      <w:r w:rsidR="00090544" w:rsidRPr="00B74333">
        <w:rPr>
          <w:rFonts w:cstheme="minorHAnsi"/>
        </w:rPr>
        <w:t xml:space="preserve"> evaluate </w:t>
      </w:r>
      <w:r w:rsidR="00513F19" w:rsidRPr="00B74333">
        <w:rPr>
          <w:rFonts w:cstheme="minorHAnsi"/>
        </w:rPr>
        <w:t xml:space="preserve">the </w:t>
      </w:r>
      <w:r w:rsidR="00513F19" w:rsidRPr="00B74333">
        <w:rPr>
          <w:rFonts w:cstheme="minorHAnsi"/>
          <w:spacing w:val="2"/>
          <w:szCs w:val="24"/>
        </w:rPr>
        <w:t xml:space="preserve">validity and completeness of </w:t>
      </w:r>
      <w:r w:rsidR="00090544" w:rsidRPr="00B74333">
        <w:rPr>
          <w:rFonts w:cstheme="minorHAnsi"/>
        </w:rPr>
        <w:t>the documents submitted</w:t>
      </w:r>
      <w:r w:rsidR="005D2E2E" w:rsidRPr="00B74333">
        <w:rPr>
          <w:rFonts w:cstheme="minorHAnsi"/>
        </w:rPr>
        <w:t xml:space="preserve">. </w:t>
      </w:r>
      <w:r w:rsidR="00714D69" w:rsidRPr="00B74333">
        <w:rPr>
          <w:rFonts w:cstheme="minorHAnsi"/>
        </w:rPr>
        <w:t xml:space="preserve">Applicants </w:t>
      </w:r>
      <w:r w:rsidR="00777F4F" w:rsidRPr="00B74333">
        <w:rPr>
          <w:rFonts w:cstheme="minorHAnsi"/>
        </w:rPr>
        <w:t xml:space="preserve">that have not </w:t>
      </w:r>
      <w:r w:rsidR="00714D69" w:rsidRPr="00B74333">
        <w:rPr>
          <w:rFonts w:cstheme="minorHAnsi"/>
        </w:rPr>
        <w:t xml:space="preserve">concluded the </w:t>
      </w:r>
      <w:r w:rsidR="009A54FC" w:rsidRPr="00B74333">
        <w:rPr>
          <w:rFonts w:cstheme="minorHAnsi"/>
        </w:rPr>
        <w:t xml:space="preserve">NNGS Standard Transmission Agreement </w:t>
      </w:r>
      <w:r w:rsidR="00D21830" w:rsidRPr="00B74333">
        <w:rPr>
          <w:rFonts w:cstheme="minorHAnsi"/>
        </w:rPr>
        <w:t>by</w:t>
      </w:r>
      <w:r w:rsidR="00881BAF" w:rsidRPr="00B74333">
        <w:rPr>
          <w:rFonts w:cstheme="minorHAnsi"/>
        </w:rPr>
        <w:t xml:space="preserve"> the closing </w:t>
      </w:r>
      <w:r w:rsidR="0070071E" w:rsidRPr="00B74333">
        <w:rPr>
          <w:rFonts w:cstheme="minorHAnsi"/>
        </w:rPr>
        <w:t xml:space="preserve">of the </w:t>
      </w:r>
      <w:r w:rsidR="00B75701" w:rsidRPr="00B74333">
        <w:rPr>
          <w:rFonts w:cstheme="minorHAnsi"/>
        </w:rPr>
        <w:t>Registration Period</w:t>
      </w:r>
      <w:r w:rsidR="0070071E" w:rsidRPr="00B74333">
        <w:rPr>
          <w:rFonts w:cstheme="minorHAnsi"/>
        </w:rPr>
        <w:t>, as per Article 5.4</w:t>
      </w:r>
      <w:r w:rsidR="001B12E5" w:rsidRPr="00B74333">
        <w:rPr>
          <w:rFonts w:cstheme="minorHAnsi"/>
        </w:rPr>
        <w:t xml:space="preserve">, shall </w:t>
      </w:r>
      <w:r w:rsidR="005979C0" w:rsidRPr="00B74333">
        <w:rPr>
          <w:rFonts w:cstheme="minorHAnsi"/>
        </w:rPr>
        <w:t>not be eligible to participate in the Binding Bidding Phase</w:t>
      </w:r>
      <w:r w:rsidR="00777F4F" w:rsidRPr="00B74333">
        <w:rPr>
          <w:rFonts w:cstheme="minorHAnsi"/>
        </w:rPr>
        <w:t>.</w:t>
      </w:r>
    </w:p>
    <w:p w14:paraId="35681FBF" w14:textId="0E48E240" w:rsidR="008C3848" w:rsidRPr="00B74333" w:rsidRDefault="00090544">
      <w:pPr>
        <w:pStyle w:val="ListParagraph"/>
        <w:widowControl w:val="0"/>
        <w:numPr>
          <w:ilvl w:val="1"/>
          <w:numId w:val="20"/>
        </w:numPr>
        <w:suppressAutoHyphens/>
        <w:spacing w:before="120" w:after="120" w:line="360" w:lineRule="auto"/>
        <w:ind w:left="426" w:hanging="568"/>
        <w:jc w:val="both"/>
      </w:pPr>
      <w:r w:rsidRPr="00B74333">
        <w:t xml:space="preserve">Within </w:t>
      </w:r>
      <w:r w:rsidR="171CADF9" w:rsidRPr="00B74333">
        <w:t xml:space="preserve">five </w:t>
      </w:r>
      <w:r w:rsidR="002E0F09" w:rsidRPr="00B74333">
        <w:t>(</w:t>
      </w:r>
      <w:r w:rsidR="31B44E9F" w:rsidRPr="00B74333">
        <w:t>5</w:t>
      </w:r>
      <w:r w:rsidR="002E0F09" w:rsidRPr="00B74333">
        <w:t>)</w:t>
      </w:r>
      <w:r w:rsidRPr="00B74333">
        <w:t xml:space="preserve"> Business Days after the </w:t>
      </w:r>
      <w:r w:rsidR="00837A61" w:rsidRPr="00B74333">
        <w:t>Registration</w:t>
      </w:r>
      <w:r w:rsidRPr="00B74333">
        <w:t xml:space="preserve"> Deadline, DESFA shall</w:t>
      </w:r>
      <w:r w:rsidR="00837A61" w:rsidRPr="00B74333">
        <w:t xml:space="preserve"> </w:t>
      </w:r>
      <w:r w:rsidRPr="00B74333">
        <w:t xml:space="preserve">address </w:t>
      </w:r>
      <w:r w:rsidR="000A336B" w:rsidRPr="00B74333">
        <w:t xml:space="preserve">to each </w:t>
      </w:r>
      <w:r w:rsidR="006A6C49" w:rsidRPr="00B74333">
        <w:t>Applicant</w:t>
      </w:r>
      <w:r w:rsidR="000A336B" w:rsidRPr="00B74333">
        <w:t xml:space="preserve"> </w:t>
      </w:r>
      <w:r w:rsidRPr="00B74333">
        <w:t xml:space="preserve">a notification </w:t>
      </w:r>
      <w:r w:rsidR="00837A61" w:rsidRPr="00B74333">
        <w:t xml:space="preserve">either </w:t>
      </w:r>
      <w:r w:rsidR="000A336B" w:rsidRPr="00B74333">
        <w:t xml:space="preserve">confirming </w:t>
      </w:r>
      <w:r w:rsidRPr="00B74333">
        <w:t xml:space="preserve">completeness and the validity of the documents submitted, or </w:t>
      </w:r>
      <w:r w:rsidR="00837A61" w:rsidRPr="00B74333">
        <w:t>otherwise rejecting</w:t>
      </w:r>
      <w:r w:rsidR="0020560F" w:rsidRPr="00B74333">
        <w:t xml:space="preserve"> and excluding the </w:t>
      </w:r>
      <w:r w:rsidR="00F823CB" w:rsidRPr="00B74333">
        <w:t>Applican</w:t>
      </w:r>
      <w:r w:rsidR="0020560F" w:rsidRPr="00B74333">
        <w:t xml:space="preserve">t from the next </w:t>
      </w:r>
      <w:r w:rsidR="00F823CB" w:rsidRPr="00B74333">
        <w:t>phase</w:t>
      </w:r>
      <w:r w:rsidR="0020560F" w:rsidRPr="00B74333">
        <w:t xml:space="preserve"> of the Market Test Process</w:t>
      </w:r>
      <w:r w:rsidR="00196572" w:rsidRPr="00B74333">
        <w:t xml:space="preserve">, informing also </w:t>
      </w:r>
      <w:r w:rsidR="00CD5B50" w:rsidRPr="00B74333">
        <w:t>RAE</w:t>
      </w:r>
      <w:r w:rsidR="00F220DE" w:rsidRPr="00B74333">
        <w:t>W</w:t>
      </w:r>
      <w:r w:rsidR="00CD5B50" w:rsidRPr="00B74333">
        <w:t>W</w:t>
      </w:r>
      <w:r w:rsidRPr="00B74333" w:rsidDel="00F823CB">
        <w:t>.</w:t>
      </w:r>
      <w:r w:rsidR="008C3848" w:rsidRPr="00B74333">
        <w:t xml:space="preserve"> </w:t>
      </w:r>
    </w:p>
    <w:p w14:paraId="7696A2BF" w14:textId="2FE81040" w:rsidR="00A0223C" w:rsidRPr="00B74333" w:rsidRDefault="00090544" w:rsidP="72E24E59">
      <w:pPr>
        <w:pStyle w:val="ListParagraph"/>
        <w:widowControl w:val="0"/>
        <w:numPr>
          <w:ilvl w:val="1"/>
          <w:numId w:val="20"/>
        </w:numPr>
        <w:spacing w:before="120" w:after="120" w:line="360" w:lineRule="auto"/>
        <w:ind w:left="426" w:hanging="568"/>
        <w:jc w:val="both"/>
      </w:pPr>
      <w:r w:rsidRPr="00B74333">
        <w:t>Where a</w:t>
      </w:r>
      <w:r w:rsidR="00EE4882" w:rsidRPr="00B74333">
        <w:t>n</w:t>
      </w:r>
      <w:r w:rsidRPr="00B74333">
        <w:t xml:space="preserve"> </w:t>
      </w:r>
      <w:r w:rsidR="009A7DCA" w:rsidRPr="00B74333">
        <w:t xml:space="preserve">Applicant </w:t>
      </w:r>
      <w:r w:rsidRPr="00B74333">
        <w:t xml:space="preserve">disputes the terms of the </w:t>
      </w:r>
      <w:r w:rsidR="00B72CA9" w:rsidRPr="00B74333">
        <w:t>r</w:t>
      </w:r>
      <w:r w:rsidRPr="00B74333">
        <w:t xml:space="preserve">ejection </w:t>
      </w:r>
      <w:r w:rsidR="00B72CA9" w:rsidRPr="00B74333">
        <w:t>n</w:t>
      </w:r>
      <w:r w:rsidRPr="00B74333">
        <w:t xml:space="preserve">otification, that </w:t>
      </w:r>
      <w:r w:rsidR="009A7DCA" w:rsidRPr="00B74333">
        <w:t xml:space="preserve">applicant </w:t>
      </w:r>
      <w:r w:rsidRPr="00B74333">
        <w:t xml:space="preserve">may seek remediation by filing an </w:t>
      </w:r>
      <w:r w:rsidR="00BC5458" w:rsidRPr="00B74333">
        <w:t>a</w:t>
      </w:r>
      <w:r w:rsidRPr="00B74333">
        <w:t xml:space="preserve">ppeal </w:t>
      </w:r>
      <w:r w:rsidR="00BC5458" w:rsidRPr="00B74333">
        <w:t>l</w:t>
      </w:r>
      <w:r w:rsidRPr="00B74333">
        <w:t xml:space="preserve">etter duly signed by the legal representative of the </w:t>
      </w:r>
      <w:r w:rsidR="009A7DCA" w:rsidRPr="00B74333">
        <w:t>Applicant</w:t>
      </w:r>
      <w:r w:rsidRPr="00B74333">
        <w:t xml:space="preserve">, within </w:t>
      </w:r>
      <w:r w:rsidR="16795846" w:rsidRPr="00B74333">
        <w:t xml:space="preserve">three (3) Business </w:t>
      </w:r>
      <w:r w:rsidRPr="00B74333">
        <w:t xml:space="preserve">Days from the receipt of the </w:t>
      </w:r>
      <w:r w:rsidR="0035242C" w:rsidRPr="00B74333">
        <w:t>rejection notification</w:t>
      </w:r>
      <w:r w:rsidRPr="00B74333">
        <w:t xml:space="preserve">, either by courier or registered mail </w:t>
      </w:r>
      <w:r w:rsidR="002E1944" w:rsidRPr="00B74333">
        <w:t>at the address specified in Article 5.3,</w:t>
      </w:r>
      <w:r w:rsidR="00EE5DFB" w:rsidRPr="00B74333">
        <w:t xml:space="preserve"> </w:t>
      </w:r>
      <w:r w:rsidRPr="00B74333">
        <w:t xml:space="preserve">or in electronic form </w:t>
      </w:r>
      <w:r w:rsidR="006B2953" w:rsidRPr="00B74333">
        <w:t>to following email address</w:t>
      </w:r>
      <w:proofErr w:type="gramStart"/>
      <w:r w:rsidR="006B2953" w:rsidRPr="00B74333">
        <w:t xml:space="preserve">: </w:t>
      </w:r>
      <w:r w:rsidR="005910C8" w:rsidRPr="00B74333">
        <w:t>.</w:t>
      </w:r>
      <w:proofErr w:type="gramEnd"/>
      <w:r w:rsidRPr="00B74333">
        <w:t xml:space="preserve"> </w:t>
      </w:r>
    </w:p>
    <w:p w14:paraId="0BEE7AB7" w14:textId="03058197" w:rsidR="00090544" w:rsidRPr="00B74333" w:rsidRDefault="00090544">
      <w:pPr>
        <w:pStyle w:val="ListParagraph"/>
        <w:widowControl w:val="0"/>
        <w:numPr>
          <w:ilvl w:val="1"/>
          <w:numId w:val="20"/>
        </w:numPr>
        <w:suppressAutoHyphens/>
        <w:spacing w:before="120" w:after="120" w:line="360" w:lineRule="auto"/>
        <w:ind w:left="426" w:hanging="568"/>
        <w:jc w:val="both"/>
      </w:pPr>
      <w:r w:rsidRPr="00B74333">
        <w:t>Within</w:t>
      </w:r>
      <w:r w:rsidRPr="00B74333" w:rsidDel="00415137">
        <w:t xml:space="preserve"> </w:t>
      </w:r>
      <w:r w:rsidR="73929705" w:rsidRPr="00B74333">
        <w:t>three (3) Business</w:t>
      </w:r>
      <w:r w:rsidRPr="00B74333">
        <w:t xml:space="preserve"> Days from receipt, DES</w:t>
      </w:r>
      <w:r w:rsidR="0021759A" w:rsidRPr="00B74333">
        <w:t>FA shall examine any submitted appeal l</w:t>
      </w:r>
      <w:r w:rsidRPr="00B74333">
        <w:t xml:space="preserve">etter and inform the </w:t>
      </w:r>
      <w:r w:rsidR="006B2953" w:rsidRPr="00B74333">
        <w:t>Applicant</w:t>
      </w:r>
      <w:r w:rsidR="00A0223C" w:rsidRPr="00B74333">
        <w:t xml:space="preserve"> and </w:t>
      </w:r>
      <w:r w:rsidR="00CD5B50" w:rsidRPr="00B74333">
        <w:t>RAE</w:t>
      </w:r>
      <w:r w:rsidR="00413404" w:rsidRPr="00B74333">
        <w:t>W</w:t>
      </w:r>
      <w:r w:rsidR="00CD5B50" w:rsidRPr="00B74333">
        <w:t>W</w:t>
      </w:r>
      <w:r w:rsidR="006B2953" w:rsidRPr="00B74333">
        <w:t xml:space="preserve"> </w:t>
      </w:r>
      <w:r w:rsidRPr="00B74333">
        <w:t xml:space="preserve">on its decision by issuing an </w:t>
      </w:r>
      <w:r w:rsidR="0021759A" w:rsidRPr="00B74333">
        <w:t>a</w:t>
      </w:r>
      <w:r w:rsidRPr="00B74333">
        <w:t xml:space="preserve">ppeal </w:t>
      </w:r>
      <w:r w:rsidR="0021759A" w:rsidRPr="00B74333">
        <w:t>n</w:t>
      </w:r>
      <w:r w:rsidRPr="00B74333">
        <w:t xml:space="preserve">otification. Such decision shall be duly substantiated. </w:t>
      </w:r>
    </w:p>
    <w:p w14:paraId="56E685BC" w14:textId="519146F9" w:rsidR="005D2E2E" w:rsidRPr="00B74333" w:rsidRDefault="00BF3D74">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Applicants having received </w:t>
      </w:r>
      <w:r w:rsidR="00D21069" w:rsidRPr="00B74333">
        <w:t xml:space="preserve">by DESFA </w:t>
      </w:r>
      <w:r w:rsidRPr="00B74333">
        <w:t>a notification confirming completeness and the validity of the documents submitted</w:t>
      </w:r>
      <w:r w:rsidRPr="00B74333" w:rsidDel="000C4C42">
        <w:t xml:space="preserve"> </w:t>
      </w:r>
      <w:r w:rsidR="00D21069" w:rsidRPr="00B74333">
        <w:t xml:space="preserve">shall be eligible to participate </w:t>
      </w:r>
      <w:r w:rsidR="0036504E" w:rsidRPr="00B74333">
        <w:t>in</w:t>
      </w:r>
      <w:r w:rsidR="00D21069" w:rsidRPr="00B74333">
        <w:t xml:space="preserve"> the </w:t>
      </w:r>
      <w:r w:rsidR="00D251AE" w:rsidRPr="00B74333">
        <w:t xml:space="preserve">Binding </w:t>
      </w:r>
      <w:r w:rsidR="00D21069" w:rsidRPr="00B74333">
        <w:t>Bi</w:t>
      </w:r>
      <w:r w:rsidR="00D251AE" w:rsidRPr="00B74333">
        <w:t>dd</w:t>
      </w:r>
      <w:r w:rsidR="00D21069" w:rsidRPr="00B74333">
        <w:t>ing Phase.</w:t>
      </w:r>
      <w:r w:rsidR="00E0567B" w:rsidRPr="00B74333">
        <w:t xml:space="preserve"> </w:t>
      </w:r>
      <w:r w:rsidR="00A8547D" w:rsidRPr="00B74333">
        <w:t xml:space="preserve">By </w:t>
      </w:r>
      <w:r w:rsidR="00E0567B" w:rsidRPr="00B74333">
        <w:t>the end of the Information Phase, DESFA shall sign and return the Non-Disclosure Agreements to all Applicants who have not been excluded from the process.</w:t>
      </w:r>
    </w:p>
    <w:p w14:paraId="64A57388" w14:textId="77777777" w:rsidR="00281B93" w:rsidRPr="00B74333" w:rsidRDefault="00281B93" w:rsidP="00837724">
      <w:pPr>
        <w:pStyle w:val="ListParagraph"/>
        <w:widowControl w:val="0"/>
        <w:suppressAutoHyphens/>
        <w:spacing w:before="120" w:after="120" w:line="360" w:lineRule="auto"/>
        <w:ind w:left="426"/>
        <w:jc w:val="both"/>
        <w:rPr>
          <w:rFonts w:cstheme="minorHAnsi"/>
        </w:rPr>
      </w:pPr>
    </w:p>
    <w:p w14:paraId="3A4E1A5F" w14:textId="77777777" w:rsidR="00D21069" w:rsidRPr="00B74333" w:rsidRDefault="00D21069" w:rsidP="00837724">
      <w:pPr>
        <w:pStyle w:val="ListParagraph"/>
        <w:widowControl w:val="0"/>
        <w:suppressAutoHyphens/>
        <w:spacing w:before="120" w:after="120" w:line="360" w:lineRule="auto"/>
        <w:ind w:left="426"/>
        <w:jc w:val="both"/>
        <w:rPr>
          <w:rFonts w:cstheme="minorHAnsi"/>
          <w:b/>
        </w:rPr>
      </w:pPr>
      <w:r w:rsidRPr="00B74333">
        <w:rPr>
          <w:rFonts w:cstheme="minorHAnsi"/>
          <w:b/>
        </w:rPr>
        <w:t>Bi</w:t>
      </w:r>
      <w:r w:rsidR="00AC762E" w:rsidRPr="00B74333">
        <w:rPr>
          <w:rFonts w:cstheme="minorHAnsi"/>
          <w:b/>
        </w:rPr>
        <w:t>n</w:t>
      </w:r>
      <w:r w:rsidRPr="00B74333">
        <w:rPr>
          <w:rFonts w:cstheme="minorHAnsi"/>
          <w:b/>
        </w:rPr>
        <w:t xml:space="preserve">ding </w:t>
      </w:r>
      <w:r w:rsidR="00010708" w:rsidRPr="00B74333">
        <w:rPr>
          <w:rFonts w:cstheme="minorHAnsi"/>
          <w:b/>
        </w:rPr>
        <w:t xml:space="preserve">Bidding </w:t>
      </w:r>
      <w:r w:rsidRPr="00B74333">
        <w:rPr>
          <w:rFonts w:cstheme="minorHAnsi"/>
          <w:b/>
        </w:rPr>
        <w:t>Phase</w:t>
      </w:r>
    </w:p>
    <w:p w14:paraId="615692EA" w14:textId="4965B904" w:rsidR="0031085B" w:rsidRPr="00B74333" w:rsidRDefault="00F05AE4" w:rsidP="003B13F3">
      <w:pPr>
        <w:pStyle w:val="ListParagraph"/>
        <w:widowControl w:val="0"/>
        <w:numPr>
          <w:ilvl w:val="1"/>
          <w:numId w:val="20"/>
        </w:numPr>
        <w:suppressAutoHyphens/>
        <w:spacing w:before="120" w:after="120" w:line="360" w:lineRule="auto"/>
        <w:ind w:left="426" w:hanging="568"/>
        <w:jc w:val="both"/>
        <w:rPr>
          <w:rFonts w:cstheme="minorHAnsi"/>
        </w:rPr>
      </w:pPr>
      <w:r w:rsidRPr="00B74333">
        <w:t>Applicants</w:t>
      </w:r>
      <w:r w:rsidR="00475E79" w:rsidRPr="00B74333">
        <w:t xml:space="preserve"> </w:t>
      </w:r>
      <w:r w:rsidRPr="00B74333">
        <w:t xml:space="preserve">that are found </w:t>
      </w:r>
      <w:r w:rsidR="00475E79" w:rsidRPr="00B74333">
        <w:t xml:space="preserve">eligible to participate in the </w:t>
      </w:r>
      <w:r w:rsidR="007B7F42" w:rsidRPr="00B74333">
        <w:t xml:space="preserve">Binding </w:t>
      </w:r>
      <w:r w:rsidR="00475E79" w:rsidRPr="00B74333">
        <w:t>Bidding Phase</w:t>
      </w:r>
      <w:r w:rsidR="00A22EFB" w:rsidRPr="00B74333">
        <w:t xml:space="preserve"> (</w:t>
      </w:r>
      <w:r w:rsidR="00EC75B2" w:rsidRPr="00B74333">
        <w:t xml:space="preserve">hereinafter </w:t>
      </w:r>
      <w:r w:rsidR="00A22EFB" w:rsidRPr="00B74333">
        <w:t xml:space="preserve">the </w:t>
      </w:r>
      <w:r w:rsidR="00EC75B2" w:rsidRPr="00B74333">
        <w:lastRenderedPageBreak/>
        <w:t>“</w:t>
      </w:r>
      <w:r w:rsidR="00A22EFB" w:rsidRPr="00B74333">
        <w:t>Participant</w:t>
      </w:r>
      <w:r w:rsidR="00EC75B2" w:rsidRPr="00B74333">
        <w:t>”</w:t>
      </w:r>
      <w:r w:rsidR="00A22EFB" w:rsidRPr="00B74333">
        <w:t>)</w:t>
      </w:r>
      <w:r w:rsidR="00475E79" w:rsidRPr="00B74333">
        <w:t xml:space="preserve"> shall submit </w:t>
      </w:r>
      <w:r w:rsidR="00EB1DF2" w:rsidRPr="00B74333">
        <w:t xml:space="preserve">to DESFA </w:t>
      </w:r>
      <w:r w:rsidR="00475E79" w:rsidRPr="00B74333">
        <w:t>the Binding Bid Form</w:t>
      </w:r>
      <w:r w:rsidR="002B6978" w:rsidRPr="00B74333">
        <w:t>,</w:t>
      </w:r>
      <w:r w:rsidR="00475E79" w:rsidRPr="00B74333">
        <w:t xml:space="preserve"> </w:t>
      </w:r>
      <w:r w:rsidR="00FD77B9" w:rsidRPr="00B74333">
        <w:t>in the form of</w:t>
      </w:r>
      <w:r w:rsidR="002B6978" w:rsidRPr="00B74333">
        <w:t xml:space="preserve"> Annex </w:t>
      </w:r>
      <w:r w:rsidR="003C1AA8" w:rsidRPr="00B74333">
        <w:t>IV</w:t>
      </w:r>
      <w:r w:rsidR="0061439D" w:rsidRPr="00B74333">
        <w:t xml:space="preserve">, </w:t>
      </w:r>
      <w:r w:rsidR="00475E79" w:rsidRPr="00B74333">
        <w:t>duly completed and signed</w:t>
      </w:r>
      <w:r w:rsidR="0031085B" w:rsidRPr="00B74333">
        <w:t xml:space="preserve"> by registered mail, or courier</w:t>
      </w:r>
      <w:r w:rsidR="006708DF" w:rsidRPr="00B74333">
        <w:t xml:space="preserve"> according to Article 5.18</w:t>
      </w:r>
      <w:r w:rsidR="00CB0BAC" w:rsidRPr="00B74333">
        <w:t xml:space="preserve"> to the address specified in Article 5.19</w:t>
      </w:r>
      <w:r w:rsidR="005B2630" w:rsidRPr="00B74333">
        <w:t xml:space="preserve">. </w:t>
      </w:r>
      <w:r w:rsidR="00465BA3" w:rsidRPr="00B74333">
        <w:t>Participants</w:t>
      </w:r>
      <w:r w:rsidR="005B2630" w:rsidRPr="00B74333">
        <w:t xml:space="preserve"> shall be required to present to DESFA</w:t>
      </w:r>
      <w:r w:rsidR="00057F45" w:rsidRPr="00B74333">
        <w:t>,</w:t>
      </w:r>
      <w:r w:rsidR="005B2630" w:rsidRPr="00B74333">
        <w:t xml:space="preserve"> alongside with the </w:t>
      </w:r>
      <w:r w:rsidR="00465BA3" w:rsidRPr="00B74333">
        <w:t>Binding Bid Form</w:t>
      </w:r>
      <w:r w:rsidR="005B2630" w:rsidRPr="00B74333">
        <w:t xml:space="preserve">, a bank guarantee (hereinafter the </w:t>
      </w:r>
      <w:r w:rsidR="00465BA3" w:rsidRPr="00B74333">
        <w:t>“</w:t>
      </w:r>
      <w:r w:rsidR="005B2630" w:rsidRPr="00B74333">
        <w:t>Binding Bid Guarantee</w:t>
      </w:r>
      <w:r w:rsidR="00465BA3" w:rsidRPr="00B74333">
        <w:t>”</w:t>
      </w:r>
      <w:r w:rsidR="005B2630" w:rsidRPr="00B74333">
        <w:t>)</w:t>
      </w:r>
      <w:r w:rsidR="00980037" w:rsidRPr="00B74333">
        <w:t xml:space="preserve">, </w:t>
      </w:r>
      <w:r w:rsidR="005B2630" w:rsidRPr="00B74333">
        <w:t xml:space="preserve">as described in the </w:t>
      </w:r>
      <w:r w:rsidR="00EA6CCE" w:rsidRPr="00B74333">
        <w:t>Guidelines</w:t>
      </w:r>
      <w:r w:rsidR="0006348C" w:rsidRPr="00B74333">
        <w:t xml:space="preserve"> </w:t>
      </w:r>
      <w:r w:rsidR="005B2630" w:rsidRPr="00B74333">
        <w:t>and in the form of Annex V</w:t>
      </w:r>
      <w:r w:rsidR="00965F84" w:rsidRPr="00B74333">
        <w:t xml:space="preserve">, </w:t>
      </w:r>
      <w:r w:rsidR="005B2630" w:rsidRPr="00B74333">
        <w:t xml:space="preserve">calculated in accordance with </w:t>
      </w:r>
      <w:r w:rsidR="00112979" w:rsidRPr="00B74333">
        <w:t xml:space="preserve">Section </w:t>
      </w:r>
      <w:r w:rsidR="00B350A0" w:rsidRPr="00B74333">
        <w:t>5</w:t>
      </w:r>
      <w:r w:rsidR="00946408" w:rsidRPr="00B74333">
        <w:t>.1</w:t>
      </w:r>
      <w:r w:rsidR="00403405" w:rsidRPr="00B74333">
        <w:t>.</w:t>
      </w:r>
      <w:r w:rsidR="00946408" w:rsidRPr="00B74333">
        <w:t xml:space="preserve"> of the </w:t>
      </w:r>
      <w:r w:rsidR="0006348C" w:rsidRPr="00B74333">
        <w:t>Guidelines</w:t>
      </w:r>
      <w:r w:rsidR="00946408" w:rsidRPr="00B74333">
        <w:t xml:space="preserve"> and according to the parameters of </w:t>
      </w:r>
      <w:r w:rsidR="005B2630" w:rsidRPr="00B74333">
        <w:t>Annex V</w:t>
      </w:r>
      <w:r w:rsidR="008A0993" w:rsidRPr="00B74333">
        <w:t>I</w:t>
      </w:r>
      <w:r w:rsidR="005B2630" w:rsidRPr="00B74333">
        <w:t>.</w:t>
      </w:r>
      <w:r w:rsidR="00B251C9" w:rsidRPr="00B74333">
        <w:t xml:space="preserve"> </w:t>
      </w:r>
      <w:r w:rsidR="007C57D6" w:rsidRPr="00B74333">
        <w:t xml:space="preserve">In case the Binding Bid Guarantee does not comply with the terms of the </w:t>
      </w:r>
      <w:r w:rsidR="00D42918" w:rsidRPr="00B74333">
        <w:t xml:space="preserve">Guidelines </w:t>
      </w:r>
      <w:r w:rsidR="007C57D6" w:rsidRPr="00B74333">
        <w:t xml:space="preserve">and/or the terms of present </w:t>
      </w:r>
      <w:r w:rsidR="00F560F7" w:rsidRPr="00B74333">
        <w:t>N</w:t>
      </w:r>
      <w:r w:rsidR="007C57D6" w:rsidRPr="00B74333">
        <w:t xml:space="preserve">otice or is not valid, </w:t>
      </w:r>
      <w:r w:rsidR="002A586C" w:rsidRPr="00B74333">
        <w:t xml:space="preserve">the </w:t>
      </w:r>
      <w:r w:rsidR="007C57D6" w:rsidRPr="00B74333">
        <w:t>Binding Bid</w:t>
      </w:r>
      <w:r w:rsidR="004179D5" w:rsidRPr="00B74333">
        <w:t xml:space="preserve"> shall be rejected</w:t>
      </w:r>
      <w:r w:rsidR="007C57D6" w:rsidRPr="00B74333">
        <w:t>.</w:t>
      </w:r>
      <w:r w:rsidR="001B73FE" w:rsidRPr="00B74333">
        <w:t xml:space="preserve"> </w:t>
      </w:r>
      <w:r w:rsidR="004179D5" w:rsidRPr="00B74333">
        <w:t xml:space="preserve">Binding Bids will be accepted only within the limits of the </w:t>
      </w:r>
      <w:r w:rsidR="00EB2A78" w:rsidRPr="00B74333">
        <w:t>Binding Bid Guarantee,</w:t>
      </w:r>
      <w:r w:rsidR="004179D5" w:rsidRPr="00B74333">
        <w:t xml:space="preserve"> which will have been presented to DESFA</w:t>
      </w:r>
      <w:r w:rsidR="00EB2A78" w:rsidRPr="00B74333">
        <w:t>,</w:t>
      </w:r>
      <w:r w:rsidR="004179D5" w:rsidRPr="00B74333">
        <w:t xml:space="preserve"> according to the provisions </w:t>
      </w:r>
      <w:r w:rsidR="00815CC8" w:rsidRPr="00B74333">
        <w:t>of</w:t>
      </w:r>
      <w:r w:rsidR="002B184A" w:rsidRPr="00B74333">
        <w:t xml:space="preserve"> Section </w:t>
      </w:r>
      <w:r w:rsidR="006E178C" w:rsidRPr="00B74333">
        <w:t>5</w:t>
      </w:r>
      <w:r w:rsidR="002B184A" w:rsidRPr="00B74333">
        <w:t>.1</w:t>
      </w:r>
      <w:r w:rsidR="005E0EDB" w:rsidRPr="00B74333">
        <w:t xml:space="preserve"> </w:t>
      </w:r>
      <w:r w:rsidR="002B184A" w:rsidRPr="00B74333">
        <w:t xml:space="preserve">of the </w:t>
      </w:r>
      <w:r w:rsidR="006E178C" w:rsidRPr="00B74333">
        <w:t>Guidelines</w:t>
      </w:r>
      <w:r w:rsidR="004179D5" w:rsidRPr="00B74333">
        <w:t xml:space="preserve">. </w:t>
      </w:r>
      <w:r w:rsidR="00DC02E4" w:rsidRPr="00B74333">
        <w:t>T</w:t>
      </w:r>
      <w:r w:rsidR="000A7A7D" w:rsidRPr="00B74333">
        <w:t xml:space="preserve">he </w:t>
      </w:r>
      <w:r w:rsidR="00B251C9" w:rsidRPr="00B74333">
        <w:t>Binding Bid Form</w:t>
      </w:r>
      <w:r w:rsidR="00ED001A" w:rsidRPr="00B74333">
        <w:t>, along with the Binding Bid Guarantee,</w:t>
      </w:r>
      <w:r w:rsidR="00ED001A" w:rsidRPr="00B74333" w:rsidDel="00CC10BA">
        <w:t xml:space="preserve"> </w:t>
      </w:r>
      <w:r w:rsidR="00F936A1" w:rsidRPr="00B74333" w:rsidDel="00CC10BA">
        <w:t>should be</w:t>
      </w:r>
      <w:r w:rsidR="00F936A1" w:rsidRPr="00B74333">
        <w:t xml:space="preserve"> </w:t>
      </w:r>
      <w:r w:rsidR="00495C20" w:rsidRPr="00B74333">
        <w:t>submitted in accordance with Article 5.17</w:t>
      </w:r>
      <w:r w:rsidR="00A66248" w:rsidRPr="00B74333">
        <w:t>.</w:t>
      </w:r>
      <w:r w:rsidR="0031085B" w:rsidRPr="00B74333">
        <w:t xml:space="preserve"> After the </w:t>
      </w:r>
      <w:r w:rsidR="00A579A9" w:rsidRPr="00B74333">
        <w:t>expiration of the Bid Submission Window</w:t>
      </w:r>
      <w:r w:rsidR="0031085B" w:rsidRPr="00B74333">
        <w:t xml:space="preserve">, no additional </w:t>
      </w:r>
      <w:r w:rsidR="003E648B" w:rsidRPr="00B74333">
        <w:t xml:space="preserve">bids </w:t>
      </w:r>
      <w:r w:rsidR="0031085B" w:rsidRPr="00B74333">
        <w:t>shall be accepted for any reason.</w:t>
      </w:r>
      <w:r w:rsidR="0037091F" w:rsidRPr="00B74333">
        <w:t xml:space="preserve"> </w:t>
      </w:r>
      <w:r w:rsidR="00967702" w:rsidRPr="00B74333">
        <w:t>The deadline for submitting the Binding Bid Form</w:t>
      </w:r>
      <w:r w:rsidR="00061C59" w:rsidRPr="00B74333">
        <w:t>, along with the Binding Bid Guarantee,</w:t>
      </w:r>
      <w:r w:rsidR="00967702" w:rsidRPr="00B74333">
        <w:t xml:space="preserve"> shall </w:t>
      </w:r>
      <w:proofErr w:type="gramStart"/>
      <w:r w:rsidR="00967702" w:rsidRPr="00B74333">
        <w:t>take into account</w:t>
      </w:r>
      <w:proofErr w:type="gramEnd"/>
      <w:r w:rsidR="00967702" w:rsidRPr="00B74333">
        <w:t xml:space="preserve"> the date and time of its submission in the DESFA Protocol and not the date of sending the </w:t>
      </w:r>
      <w:r w:rsidR="00061C59" w:rsidRPr="00B74333">
        <w:t>documents</w:t>
      </w:r>
      <w:r w:rsidR="00967702" w:rsidRPr="00B74333">
        <w:t xml:space="preserve">. </w:t>
      </w:r>
      <w:r w:rsidR="007D601C" w:rsidRPr="00B74333">
        <w:t xml:space="preserve">In </w:t>
      </w:r>
      <w:proofErr w:type="gramStart"/>
      <w:r w:rsidR="007D601C" w:rsidRPr="00B74333">
        <w:t>case</w:t>
      </w:r>
      <w:proofErr w:type="gramEnd"/>
      <w:r w:rsidR="007D601C" w:rsidRPr="00B74333">
        <w:t xml:space="preserve"> of submission by courier, DESFA is not responsible for the timely submission of the </w:t>
      </w:r>
      <w:r w:rsidR="00061C59" w:rsidRPr="00B74333">
        <w:t xml:space="preserve">documents </w:t>
      </w:r>
      <w:r w:rsidR="007D601C" w:rsidRPr="00B74333">
        <w:t>or for the content of the envelopes.</w:t>
      </w:r>
    </w:p>
    <w:p w14:paraId="514F0422" w14:textId="1C091726" w:rsidR="0031085B" w:rsidRPr="00B74333" w:rsidRDefault="0031085B">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The </w:t>
      </w:r>
      <w:r w:rsidR="00A579A9" w:rsidRPr="00B74333">
        <w:t>Bid Submission Window</w:t>
      </w:r>
      <w:r w:rsidR="00A579A9" w:rsidRPr="00B74333" w:rsidDel="00EA70A1">
        <w:t xml:space="preserve"> </w:t>
      </w:r>
      <w:r w:rsidRPr="00B74333">
        <w:t xml:space="preserve">is set to </w:t>
      </w:r>
      <w:r w:rsidR="002D4FF3" w:rsidRPr="00B74333">
        <w:t xml:space="preserve">open on 09:00, local time </w:t>
      </w:r>
      <w:r w:rsidR="00702E16" w:rsidRPr="00B74333">
        <w:t xml:space="preserve">in Greece </w:t>
      </w:r>
      <w:r w:rsidR="002D4FF3" w:rsidRPr="00B74333">
        <w:t>(</w:t>
      </w:r>
      <w:r w:rsidR="00702E16" w:rsidRPr="00B74333">
        <w:t>E</w:t>
      </w:r>
      <w:r w:rsidR="002D4FF3" w:rsidRPr="00B74333">
        <w:t>E</w:t>
      </w:r>
      <w:r w:rsidR="00905E7E" w:rsidRPr="00B74333">
        <w:t>S</w:t>
      </w:r>
      <w:r w:rsidR="002D4FF3" w:rsidRPr="00B74333">
        <w:t xml:space="preserve">T), of </w:t>
      </w:r>
      <w:r w:rsidR="003C5F5D" w:rsidRPr="00B74333">
        <w:t>02</w:t>
      </w:r>
      <w:r w:rsidR="000A06D9" w:rsidRPr="00B74333">
        <w:t>.</w:t>
      </w:r>
      <w:r w:rsidR="003C5F5D" w:rsidRPr="00B74333">
        <w:t>07</w:t>
      </w:r>
      <w:r w:rsidR="000A06D9" w:rsidRPr="00B74333">
        <w:t>.202</w:t>
      </w:r>
      <w:r w:rsidR="003C5F5D" w:rsidRPr="00B74333">
        <w:t>4</w:t>
      </w:r>
      <w:r w:rsidR="002D4FF3" w:rsidRPr="00B74333">
        <w:t xml:space="preserve"> and to expire on</w:t>
      </w:r>
      <w:r w:rsidRPr="00B74333">
        <w:t xml:space="preserve"> </w:t>
      </w:r>
      <w:r w:rsidR="007224E2" w:rsidRPr="00B74333">
        <w:t>13:30</w:t>
      </w:r>
      <w:r w:rsidRPr="00B74333">
        <w:t xml:space="preserve">, local time </w:t>
      </w:r>
      <w:r w:rsidR="00EC2566" w:rsidRPr="00B74333">
        <w:t xml:space="preserve">in Greece </w:t>
      </w:r>
      <w:r w:rsidRPr="00B74333">
        <w:t>(</w:t>
      </w:r>
      <w:r w:rsidR="00702E16" w:rsidRPr="00B74333">
        <w:t>EE</w:t>
      </w:r>
      <w:r w:rsidR="00905E7E" w:rsidRPr="00B74333">
        <w:t>S</w:t>
      </w:r>
      <w:r w:rsidR="00702E16" w:rsidRPr="00B74333">
        <w:t>T</w:t>
      </w:r>
      <w:r w:rsidRPr="00B74333">
        <w:t>), o</w:t>
      </w:r>
      <w:r w:rsidR="009113AA" w:rsidRPr="00B74333">
        <w:t xml:space="preserve">f </w:t>
      </w:r>
      <w:r w:rsidR="003C5F5D" w:rsidRPr="00B74333">
        <w:t>12</w:t>
      </w:r>
      <w:r w:rsidR="00DA7E64" w:rsidRPr="00B74333">
        <w:t>.</w:t>
      </w:r>
      <w:r w:rsidR="003C5F5D" w:rsidRPr="00B74333">
        <w:t>07</w:t>
      </w:r>
      <w:r w:rsidR="00DA7E64" w:rsidRPr="00B74333">
        <w:t>.202</w:t>
      </w:r>
      <w:r w:rsidR="003C5F5D" w:rsidRPr="00B74333">
        <w:t>4</w:t>
      </w:r>
      <w:r w:rsidRPr="00B74333">
        <w:t xml:space="preserve">. </w:t>
      </w:r>
    </w:p>
    <w:p w14:paraId="5F5E601F" w14:textId="25A3F81A" w:rsidR="00944002" w:rsidRPr="00B74333" w:rsidRDefault="00AE07CD">
      <w:pPr>
        <w:pStyle w:val="ListParagraph"/>
        <w:widowControl w:val="0"/>
        <w:numPr>
          <w:ilvl w:val="1"/>
          <w:numId w:val="20"/>
        </w:numPr>
        <w:suppressAutoHyphens/>
        <w:spacing w:before="120" w:after="120" w:line="360" w:lineRule="auto"/>
        <w:ind w:left="426" w:hanging="568"/>
        <w:jc w:val="both"/>
        <w:rPr>
          <w:rFonts w:cstheme="minorHAnsi"/>
          <w:u w:color="000000"/>
        </w:rPr>
      </w:pPr>
      <w:r w:rsidRPr="00B74333">
        <w:t xml:space="preserve">No later than </w:t>
      </w:r>
      <w:r w:rsidR="001E39C0" w:rsidRPr="00B74333">
        <w:t>twenty-five</w:t>
      </w:r>
      <w:r w:rsidR="00D572BC" w:rsidRPr="00B74333">
        <w:t xml:space="preserve"> (25</w:t>
      </w:r>
      <w:r w:rsidR="00E42F8D" w:rsidRPr="00B74333" w:rsidDel="00D572BC">
        <w:t>)</w:t>
      </w:r>
      <w:r w:rsidRPr="00B74333">
        <w:t xml:space="preserve"> Days before the expiration of the </w:t>
      </w:r>
      <w:r w:rsidR="004C5122" w:rsidRPr="00B74333">
        <w:t>Bid Submission Window</w:t>
      </w:r>
      <w:r w:rsidRPr="00B74333">
        <w:t>, requests for clarification</w:t>
      </w:r>
      <w:r w:rsidR="008907FC" w:rsidRPr="00B74333">
        <w:t>s</w:t>
      </w:r>
      <w:r w:rsidR="0061439D" w:rsidRPr="00B74333">
        <w:t xml:space="preserve"> by the Participants</w:t>
      </w:r>
      <w:r w:rsidRPr="00B74333">
        <w:t xml:space="preserve"> exclusively</w:t>
      </w:r>
      <w:r w:rsidR="001B5A03" w:rsidRPr="00B74333">
        <w:t xml:space="preserve"> </w:t>
      </w:r>
      <w:r w:rsidR="00BB7C33" w:rsidRPr="00B74333">
        <w:t xml:space="preserve">for </w:t>
      </w:r>
      <w:r w:rsidR="001B5A03" w:rsidRPr="00B74333">
        <w:t>the</w:t>
      </w:r>
      <w:r w:rsidRPr="00B74333">
        <w:t xml:space="preserve"> </w:t>
      </w:r>
      <w:r w:rsidR="004C5122" w:rsidRPr="00B74333">
        <w:t xml:space="preserve">Binding </w:t>
      </w:r>
      <w:r w:rsidR="00B90FD3" w:rsidRPr="00B74333">
        <w:t>Bi</w:t>
      </w:r>
      <w:r w:rsidR="004C5122" w:rsidRPr="00B74333">
        <w:t>d</w:t>
      </w:r>
      <w:r w:rsidR="00B90FD3" w:rsidRPr="00B74333">
        <w:t>ding Phase</w:t>
      </w:r>
      <w:r w:rsidR="001B5A03" w:rsidRPr="00B74333">
        <w:t xml:space="preserve"> </w:t>
      </w:r>
      <w:r w:rsidR="00BB7C33" w:rsidRPr="00B74333">
        <w:t xml:space="preserve">in accordance with </w:t>
      </w:r>
      <w:r w:rsidRPr="00B74333">
        <w:t xml:space="preserve">the provisions of </w:t>
      </w:r>
      <w:r w:rsidR="00B90FD3" w:rsidRPr="00B74333">
        <w:t xml:space="preserve">this Binding </w:t>
      </w:r>
      <w:r w:rsidR="00B84D0D" w:rsidRPr="00B74333">
        <w:t xml:space="preserve">Phase </w:t>
      </w:r>
      <w:r w:rsidR="00B90FD3" w:rsidRPr="00B74333">
        <w:t>Notice</w:t>
      </w:r>
      <w:r w:rsidR="00353299" w:rsidRPr="00B74333">
        <w:t>, the Guidelines</w:t>
      </w:r>
      <w:r w:rsidR="00AB4201" w:rsidRPr="00B74333">
        <w:t xml:space="preserve"> </w:t>
      </w:r>
      <w:r w:rsidR="00B90FD3" w:rsidRPr="00B74333">
        <w:t>and</w:t>
      </w:r>
      <w:r w:rsidRPr="00B74333">
        <w:t xml:space="preserve"> the </w:t>
      </w:r>
      <w:r w:rsidR="00AB4201" w:rsidRPr="00B74333">
        <w:t>Project Proposal</w:t>
      </w:r>
      <w:r w:rsidR="00353299" w:rsidRPr="00B74333">
        <w:t>s,</w:t>
      </w:r>
      <w:r w:rsidR="00BE361B" w:rsidRPr="00B74333">
        <w:t xml:space="preserve"> </w:t>
      </w:r>
      <w:r w:rsidRPr="00B74333">
        <w:t>can be addressed to the following email address:</w:t>
      </w:r>
      <w:r w:rsidR="006906D2" w:rsidRPr="00B74333">
        <w:t xml:space="preserve"> </w:t>
      </w:r>
      <w:hyperlink r:id="rId15">
        <w:r w:rsidR="006906D2" w:rsidRPr="00B74333">
          <w:rPr>
            <w:rStyle w:val="Hyperlink"/>
          </w:rPr>
          <w:t>market-test@desfa.gr</w:t>
        </w:r>
      </w:hyperlink>
      <w:r w:rsidR="00B80158" w:rsidRPr="00B74333">
        <w:rPr>
          <w:rStyle w:val="Hyperlink"/>
        </w:rPr>
        <w:t>.</w:t>
      </w:r>
    </w:p>
    <w:p w14:paraId="429A61F3" w14:textId="38DA8DEB" w:rsidR="00AF1846" w:rsidRPr="00B74333" w:rsidRDefault="00AF1846" w:rsidP="00452328">
      <w:pPr>
        <w:pStyle w:val="ListParagraph"/>
        <w:widowControl w:val="0"/>
        <w:suppressAutoHyphens/>
        <w:spacing w:before="120" w:after="120" w:line="360" w:lineRule="auto"/>
        <w:ind w:left="426"/>
        <w:jc w:val="both"/>
        <w:rPr>
          <w:rFonts w:cstheme="minorHAnsi"/>
        </w:rPr>
      </w:pPr>
      <w:r w:rsidRPr="00B74333">
        <w:rPr>
          <w:rFonts w:cstheme="minorHAnsi"/>
        </w:rPr>
        <w:t xml:space="preserve">Within </w:t>
      </w:r>
      <w:r w:rsidR="00E42F8D" w:rsidRPr="00B74333">
        <w:rPr>
          <w:rFonts w:cstheme="minorHAnsi"/>
        </w:rPr>
        <w:t>five</w:t>
      </w:r>
      <w:r w:rsidR="00353299" w:rsidRPr="00B74333">
        <w:rPr>
          <w:rFonts w:cstheme="minorHAnsi"/>
        </w:rPr>
        <w:t xml:space="preserve"> (5)</w:t>
      </w:r>
      <w:r w:rsidRPr="00B74333">
        <w:rPr>
          <w:rFonts w:cstheme="minorHAnsi"/>
        </w:rPr>
        <w:t xml:space="preserve"> Business Days from its receipt, DESFA shall provide said clarifications by uploading them, if necessary, to DESFA’s website without disclosing the </w:t>
      </w:r>
      <w:proofErr w:type="gramStart"/>
      <w:r w:rsidRPr="00B74333">
        <w:rPr>
          <w:rFonts w:cstheme="minorHAnsi"/>
        </w:rPr>
        <w:t>requesting</w:t>
      </w:r>
      <w:proofErr w:type="gramEnd"/>
      <w:r w:rsidRPr="00B74333">
        <w:rPr>
          <w:rFonts w:cstheme="minorHAnsi"/>
        </w:rPr>
        <w:t xml:space="preserve"> </w:t>
      </w:r>
      <w:r w:rsidR="0061439D" w:rsidRPr="00B74333">
        <w:rPr>
          <w:rFonts w:cstheme="minorHAnsi"/>
        </w:rPr>
        <w:t>Participant</w:t>
      </w:r>
      <w:r w:rsidRPr="00B74333">
        <w:rPr>
          <w:rFonts w:cstheme="minorHAnsi"/>
        </w:rPr>
        <w:t>’s identity</w:t>
      </w:r>
      <w:r w:rsidR="007E6AE5" w:rsidRPr="00B74333">
        <w:rPr>
          <w:rFonts w:cstheme="minorHAnsi"/>
        </w:rPr>
        <w:t>.</w:t>
      </w:r>
    </w:p>
    <w:p w14:paraId="37AC7534" w14:textId="71399A31" w:rsidR="00AE07CD" w:rsidRPr="00B74333"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Binding </w:t>
      </w:r>
      <w:r w:rsidR="002B6978" w:rsidRPr="00B74333">
        <w:t xml:space="preserve">Bid Form </w:t>
      </w:r>
      <w:r w:rsidR="006B4351" w:rsidRPr="00B74333">
        <w:t xml:space="preserve">and Binding Bid Guarantee </w:t>
      </w:r>
      <w:r w:rsidRPr="00B74333">
        <w:t xml:space="preserve">shall be submitted in a sealed package, </w:t>
      </w:r>
      <w:r w:rsidR="00DA55AC" w:rsidRPr="00B74333">
        <w:t xml:space="preserve">up until the </w:t>
      </w:r>
      <w:r w:rsidR="00F62C98" w:rsidRPr="00B74333">
        <w:t>end of the Bid Submission Window</w:t>
      </w:r>
      <w:r w:rsidR="00DA55AC" w:rsidRPr="00B74333">
        <w:t xml:space="preserve">, </w:t>
      </w:r>
      <w:r w:rsidRPr="00B74333">
        <w:t>on which shall be mentioned:</w:t>
      </w:r>
    </w:p>
    <w:p w14:paraId="6E192221" w14:textId="32975988" w:rsidR="00AE07CD" w:rsidRPr="00B74333" w:rsidRDefault="00AE07CD" w:rsidP="00EC2566">
      <w:pPr>
        <w:numPr>
          <w:ilvl w:val="0"/>
          <w:numId w:val="14"/>
        </w:numPr>
        <w:spacing w:after="100" w:afterAutospacing="1" w:line="276" w:lineRule="auto"/>
        <w:ind w:left="709" w:right="6" w:hanging="283"/>
        <w:jc w:val="both"/>
        <w:rPr>
          <w:rFonts w:cstheme="minorHAnsi"/>
        </w:rPr>
      </w:pPr>
      <w:r w:rsidRPr="00B74333">
        <w:rPr>
          <w:rFonts w:cstheme="minorHAnsi"/>
        </w:rPr>
        <w:t xml:space="preserve">“Binding </w:t>
      </w:r>
      <w:r w:rsidR="00FB3BE9" w:rsidRPr="00B74333">
        <w:rPr>
          <w:rFonts w:cstheme="minorHAnsi"/>
        </w:rPr>
        <w:t>Bid</w:t>
      </w:r>
      <w:r w:rsidRPr="00B74333">
        <w:rPr>
          <w:rFonts w:cstheme="minorHAnsi"/>
        </w:rPr>
        <w:t xml:space="preserve"> </w:t>
      </w:r>
      <w:r w:rsidR="00ED26F2" w:rsidRPr="00B74333">
        <w:rPr>
          <w:rFonts w:cstheme="minorHAnsi"/>
        </w:rPr>
        <w:t>for the</w:t>
      </w:r>
      <w:r w:rsidRPr="00B74333">
        <w:rPr>
          <w:rFonts w:cstheme="minorHAnsi"/>
        </w:rPr>
        <w:t xml:space="preserve"> </w:t>
      </w:r>
      <w:r w:rsidR="00F81382" w:rsidRPr="00B74333">
        <w:rPr>
          <w:rFonts w:cstheme="minorHAnsi"/>
        </w:rPr>
        <w:t xml:space="preserve">allocation of </w:t>
      </w:r>
      <w:r w:rsidR="00194377" w:rsidRPr="00B74333">
        <w:rPr>
          <w:rFonts w:cstheme="minorHAnsi"/>
        </w:rPr>
        <w:t>i</w:t>
      </w:r>
      <w:r w:rsidR="00F81382" w:rsidRPr="00B74333">
        <w:rPr>
          <w:rFonts w:cstheme="minorHAnsi"/>
        </w:rPr>
        <w:t xml:space="preserve">ncremental </w:t>
      </w:r>
      <w:r w:rsidR="00194377" w:rsidRPr="00B74333">
        <w:rPr>
          <w:rFonts w:cstheme="minorHAnsi"/>
        </w:rPr>
        <w:t>c</w:t>
      </w:r>
      <w:r w:rsidR="00F81382" w:rsidRPr="00B74333">
        <w:rPr>
          <w:rFonts w:cstheme="minorHAnsi"/>
        </w:rPr>
        <w:t>apacity</w:t>
      </w:r>
      <w:r w:rsidR="006553C5" w:rsidRPr="00B74333">
        <w:rPr>
          <w:rFonts w:cstheme="minorHAnsi"/>
        </w:rPr>
        <w:t xml:space="preserve"> (Market Test Process)</w:t>
      </w:r>
      <w:r w:rsidRPr="00B74333">
        <w:rPr>
          <w:rFonts w:cstheme="minorHAnsi"/>
        </w:rPr>
        <w:t xml:space="preserve">” </w:t>
      </w:r>
    </w:p>
    <w:p w14:paraId="553F4ED0" w14:textId="75A13412" w:rsidR="00AE07CD" w:rsidRPr="00B74333" w:rsidRDefault="007D6DAB" w:rsidP="00EC2566">
      <w:pPr>
        <w:pStyle w:val="ListParagraph"/>
        <w:widowControl w:val="0"/>
        <w:numPr>
          <w:ilvl w:val="0"/>
          <w:numId w:val="14"/>
        </w:numPr>
        <w:suppressAutoHyphens/>
        <w:spacing w:before="120" w:after="120" w:line="360" w:lineRule="auto"/>
        <w:ind w:left="567" w:hanging="141"/>
        <w:jc w:val="both"/>
        <w:rPr>
          <w:rFonts w:cstheme="minorHAnsi"/>
        </w:rPr>
      </w:pPr>
      <w:r w:rsidRPr="00B74333">
        <w:rPr>
          <w:rFonts w:cstheme="minorHAnsi"/>
        </w:rPr>
        <w:t xml:space="preserve">    </w:t>
      </w:r>
      <w:r w:rsidR="00AE07CD" w:rsidRPr="00B74333">
        <w:rPr>
          <w:rFonts w:cstheme="minorHAnsi"/>
        </w:rPr>
        <w:t>Participant’s company name, business residence, telephone number and e-mail address.</w:t>
      </w:r>
    </w:p>
    <w:p w14:paraId="78BF6118" w14:textId="4249B76B" w:rsidR="00BC19B0" w:rsidRPr="00B74333"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The sealed package shall contain the </w:t>
      </w:r>
      <w:r w:rsidR="009310A4" w:rsidRPr="00B74333">
        <w:t>Binding Bid Form</w:t>
      </w:r>
      <w:r w:rsidR="009442C1" w:rsidRPr="00B74333">
        <w:t>,</w:t>
      </w:r>
      <w:r w:rsidR="00CA542A" w:rsidRPr="00B74333" w:rsidDel="00CA542A">
        <w:t xml:space="preserve"> </w:t>
      </w:r>
      <w:r w:rsidR="00DC6C0E" w:rsidRPr="00B74333">
        <w:t xml:space="preserve">in the form of Annex </w:t>
      </w:r>
      <w:r w:rsidR="008A0993" w:rsidRPr="00B74333">
        <w:t xml:space="preserve">IV </w:t>
      </w:r>
      <w:r w:rsidR="00FA16B4" w:rsidRPr="00B74333">
        <w:t>and</w:t>
      </w:r>
      <w:r w:rsidR="005E348B" w:rsidRPr="00B74333">
        <w:t xml:space="preserve"> </w:t>
      </w:r>
      <w:r w:rsidR="00FA16B4" w:rsidRPr="00B74333">
        <w:t>shall</w:t>
      </w:r>
      <w:r w:rsidR="00AD2D20" w:rsidRPr="00B74333">
        <w:t xml:space="preserve"> bear a certificate of authenticity of the signature of the signatory from a competent authority. The submitted documents coming from a foreign country shall also bear the note of the Hague Convention (Apostille) and must be submitted in an official translation into the Greek language</w:t>
      </w:r>
      <w:r w:rsidR="00F82CB3" w:rsidRPr="00B74333">
        <w:t xml:space="preserve"> </w:t>
      </w:r>
      <w:r w:rsidR="00F82CB3" w:rsidRPr="00B74333">
        <w:lastRenderedPageBreak/>
        <w:t>(the Binding Bid Form</w:t>
      </w:r>
      <w:r w:rsidR="004B6F46" w:rsidRPr="00B74333">
        <w:t xml:space="preserve"> </w:t>
      </w:r>
      <w:r w:rsidR="002633AA" w:rsidRPr="00B74333">
        <w:t xml:space="preserve">and the Binding Bid Guarantee </w:t>
      </w:r>
      <w:r w:rsidR="004B6F46" w:rsidRPr="00B74333">
        <w:t>itself</w:t>
      </w:r>
      <w:r w:rsidR="00F82CB3" w:rsidRPr="00B74333">
        <w:t xml:space="preserve"> excluded)</w:t>
      </w:r>
      <w:r w:rsidR="00AD2D20" w:rsidRPr="00B74333">
        <w:t>.</w:t>
      </w:r>
      <w:r w:rsidR="00FA16B4" w:rsidRPr="00B74333">
        <w:t xml:space="preserve"> </w:t>
      </w:r>
      <w:r w:rsidR="006B3CBD" w:rsidRPr="00B74333">
        <w:t xml:space="preserve">For </w:t>
      </w:r>
      <w:r w:rsidR="00AD2D20" w:rsidRPr="00B74333">
        <w:t xml:space="preserve">any other documents </w:t>
      </w:r>
      <w:r w:rsidR="006B3CBD" w:rsidRPr="00B74333">
        <w:t>submitted in this regard</w:t>
      </w:r>
      <w:r w:rsidR="009442C1" w:rsidRPr="00B74333">
        <w:t>,</w:t>
      </w:r>
      <w:r w:rsidR="006B3CBD" w:rsidRPr="00B74333">
        <w:t xml:space="preserve"> provisions of Article 5.8 </w:t>
      </w:r>
      <w:r w:rsidR="001E39C0" w:rsidRPr="00B74333">
        <w:t>apply</w:t>
      </w:r>
      <w:r w:rsidR="006B3CBD" w:rsidRPr="00B74333">
        <w:t xml:space="preserve">. </w:t>
      </w:r>
    </w:p>
    <w:p w14:paraId="60FCC642" w14:textId="77777777" w:rsidR="00AE07CD" w:rsidRPr="00B74333"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B74333">
        <w:t>All documents</w:t>
      </w:r>
      <w:r w:rsidR="00C96617" w:rsidRPr="00B74333">
        <w:t xml:space="preserve"> </w:t>
      </w:r>
      <w:r w:rsidRPr="00B74333">
        <w:t>to be submitted to DESFA</w:t>
      </w:r>
      <w:r w:rsidR="00C35E5C" w:rsidRPr="00B74333">
        <w:t xml:space="preserve"> </w:t>
      </w:r>
      <w:r w:rsidRPr="00B74333">
        <w:t xml:space="preserve">under this </w:t>
      </w:r>
      <w:r w:rsidR="005944ED" w:rsidRPr="00B74333">
        <w:t xml:space="preserve">Binding </w:t>
      </w:r>
      <w:r w:rsidR="00F621CB" w:rsidRPr="00B74333">
        <w:t>Bi</w:t>
      </w:r>
      <w:r w:rsidR="005944ED" w:rsidRPr="00B74333">
        <w:t>d</w:t>
      </w:r>
      <w:r w:rsidR="00F621CB" w:rsidRPr="00B74333">
        <w:t>ding Phase</w:t>
      </w:r>
      <w:r w:rsidRPr="00B74333">
        <w:t xml:space="preserve"> should be submitted </w:t>
      </w:r>
      <w:r w:rsidR="008A4BFA" w:rsidRPr="00B74333">
        <w:t>in DESFA’s Protocol service</w:t>
      </w:r>
      <w:r w:rsidR="008907FC" w:rsidRPr="00B74333">
        <w:t xml:space="preserve"> (Secretariat Unit)</w:t>
      </w:r>
      <w:r w:rsidR="008A4BFA" w:rsidRPr="00B74333">
        <w:t xml:space="preserve"> in the following address or </w:t>
      </w:r>
      <w:r w:rsidRPr="00B74333">
        <w:t xml:space="preserve">via courier or registered mail to the following address: </w:t>
      </w:r>
    </w:p>
    <w:p w14:paraId="5C4ECB95" w14:textId="77777777" w:rsidR="00AE07CD" w:rsidRPr="00B74333" w:rsidRDefault="00AE07CD" w:rsidP="00CC4FB9">
      <w:pPr>
        <w:spacing w:after="0" w:line="240" w:lineRule="auto"/>
        <w:ind w:left="567" w:right="6" w:hanging="11"/>
        <w:rPr>
          <w:rFonts w:cstheme="minorHAnsi"/>
          <w:lang w:val="fr-FR"/>
        </w:rPr>
      </w:pPr>
      <w:r w:rsidRPr="00B74333">
        <w:rPr>
          <w:rFonts w:cstheme="minorHAnsi"/>
          <w:lang w:val="fr-FR"/>
        </w:rPr>
        <w:t xml:space="preserve">DESFA S.A. </w:t>
      </w:r>
    </w:p>
    <w:p w14:paraId="55E50BC3" w14:textId="77777777" w:rsidR="00AE07CD" w:rsidRPr="00B74333" w:rsidRDefault="00AE07CD" w:rsidP="00CC4FB9">
      <w:pPr>
        <w:spacing w:after="0" w:line="240" w:lineRule="auto"/>
        <w:ind w:left="567" w:right="6" w:hanging="11"/>
        <w:rPr>
          <w:rFonts w:cstheme="minorHAnsi"/>
          <w:lang w:val="fr-FR"/>
        </w:rPr>
      </w:pPr>
      <w:r w:rsidRPr="00B74333">
        <w:rPr>
          <w:rFonts w:cstheme="minorHAnsi"/>
          <w:lang w:val="fr-FR"/>
        </w:rPr>
        <w:t xml:space="preserve">357-359 </w:t>
      </w:r>
      <w:proofErr w:type="spellStart"/>
      <w:r w:rsidRPr="00B74333">
        <w:rPr>
          <w:rFonts w:cstheme="minorHAnsi"/>
          <w:lang w:val="fr-FR"/>
        </w:rPr>
        <w:t>Messogion</w:t>
      </w:r>
      <w:proofErr w:type="spellEnd"/>
      <w:r w:rsidRPr="00B74333">
        <w:rPr>
          <w:rFonts w:cstheme="minorHAnsi"/>
          <w:lang w:val="fr-FR"/>
        </w:rPr>
        <w:t xml:space="preserve"> Ave.</w:t>
      </w:r>
    </w:p>
    <w:p w14:paraId="4F01229D" w14:textId="77777777" w:rsidR="00AE07CD" w:rsidRPr="00B74333" w:rsidRDefault="00AE07CD" w:rsidP="00CC4FB9">
      <w:pPr>
        <w:spacing w:after="0" w:line="240" w:lineRule="auto"/>
        <w:ind w:left="567" w:right="6" w:hanging="11"/>
        <w:rPr>
          <w:rFonts w:cstheme="minorHAnsi"/>
          <w:lang w:val="fr-FR"/>
        </w:rPr>
      </w:pPr>
      <w:r w:rsidRPr="00B74333">
        <w:rPr>
          <w:rFonts w:cstheme="minorHAnsi"/>
          <w:lang w:val="fr-FR"/>
        </w:rPr>
        <w:t xml:space="preserve">GR - 152 31 HALANDRI, GREECE </w:t>
      </w:r>
    </w:p>
    <w:p w14:paraId="7999B4A7" w14:textId="77777777" w:rsidR="00AE07CD" w:rsidRPr="00B74333" w:rsidRDefault="00AE07CD" w:rsidP="00CC4FB9">
      <w:pPr>
        <w:spacing w:after="0" w:line="240" w:lineRule="auto"/>
        <w:ind w:left="567" w:right="6" w:hanging="11"/>
        <w:rPr>
          <w:rFonts w:cstheme="minorHAnsi"/>
          <w:lang w:val="fr-FR"/>
        </w:rPr>
      </w:pPr>
      <w:r w:rsidRPr="00B74333">
        <w:rPr>
          <w:rFonts w:cstheme="minorHAnsi"/>
          <w:lang w:val="fr-FR"/>
        </w:rPr>
        <w:t xml:space="preserve">General Document Centre, </w:t>
      </w:r>
      <w:proofErr w:type="gramStart"/>
      <w:r w:rsidRPr="00B74333">
        <w:rPr>
          <w:rFonts w:cstheme="minorHAnsi"/>
          <w:lang w:val="fr-FR"/>
        </w:rPr>
        <w:t>T:</w:t>
      </w:r>
      <w:proofErr w:type="gramEnd"/>
      <w:r w:rsidRPr="00B74333">
        <w:rPr>
          <w:rFonts w:cstheme="minorHAnsi"/>
          <w:lang w:val="fr-FR"/>
        </w:rPr>
        <w:t xml:space="preserve"> +30 213 088 4278, +30 213 088 4286</w:t>
      </w:r>
    </w:p>
    <w:p w14:paraId="18B45FC9" w14:textId="77777777" w:rsidR="00AE07CD" w:rsidRPr="00B74333" w:rsidRDefault="00AE07CD" w:rsidP="00CC4FB9">
      <w:pPr>
        <w:spacing w:after="0" w:line="240" w:lineRule="auto"/>
        <w:ind w:left="567" w:right="6" w:hanging="11"/>
        <w:rPr>
          <w:rFonts w:cstheme="minorHAnsi"/>
        </w:rPr>
      </w:pPr>
      <w:r w:rsidRPr="00B74333">
        <w:rPr>
          <w:rFonts w:cstheme="minorHAnsi"/>
        </w:rPr>
        <w:t xml:space="preserve">to the attention of </w:t>
      </w:r>
      <w:r w:rsidR="00F678D8" w:rsidRPr="00B74333">
        <w:rPr>
          <w:rFonts w:cstheme="minorHAnsi"/>
        </w:rPr>
        <w:t>Commercial</w:t>
      </w:r>
      <w:r w:rsidRPr="00B74333">
        <w:rPr>
          <w:rFonts w:cstheme="minorHAnsi"/>
        </w:rPr>
        <w:t xml:space="preserve"> </w:t>
      </w:r>
      <w:r w:rsidR="009E00B3" w:rsidRPr="00B74333">
        <w:rPr>
          <w:rFonts w:cstheme="minorHAnsi"/>
        </w:rPr>
        <w:t xml:space="preserve">Services </w:t>
      </w:r>
      <w:r w:rsidRPr="00B74333">
        <w:rPr>
          <w:rFonts w:cstheme="minorHAnsi"/>
        </w:rPr>
        <w:t>Division</w:t>
      </w:r>
    </w:p>
    <w:p w14:paraId="5ACB51E6" w14:textId="5D9F7341" w:rsidR="00187378" w:rsidRPr="00B74333" w:rsidRDefault="005944ED">
      <w:pPr>
        <w:pStyle w:val="ListParagraph"/>
        <w:widowControl w:val="0"/>
        <w:numPr>
          <w:ilvl w:val="1"/>
          <w:numId w:val="20"/>
        </w:numPr>
        <w:suppressAutoHyphens/>
        <w:spacing w:before="120" w:after="120" w:line="360" w:lineRule="auto"/>
        <w:ind w:left="426" w:hanging="568"/>
        <w:jc w:val="both"/>
        <w:rPr>
          <w:rFonts w:cstheme="minorHAnsi"/>
        </w:rPr>
      </w:pPr>
      <w:r w:rsidRPr="00B74333">
        <w:t>After</w:t>
      </w:r>
      <w:r w:rsidR="007D0463" w:rsidRPr="00B74333">
        <w:t xml:space="preserve"> the end of the Bid Submission Window</w:t>
      </w:r>
      <w:r w:rsidR="006C41FB" w:rsidRPr="00B74333">
        <w:t xml:space="preserve"> and within the Bid Evaluation Period</w:t>
      </w:r>
      <w:r w:rsidR="007D0463" w:rsidRPr="00B74333">
        <w:t xml:space="preserve">, </w:t>
      </w:r>
      <w:r w:rsidR="004D4B7B" w:rsidRPr="00B74333">
        <w:t>DESFA</w:t>
      </w:r>
      <w:r w:rsidR="007D0463" w:rsidRPr="00B74333">
        <w:t xml:space="preserve"> will assess the received Binding </w:t>
      </w:r>
      <w:r w:rsidR="00D71CB7" w:rsidRPr="00B74333">
        <w:t>Bids</w:t>
      </w:r>
      <w:r w:rsidR="00735D79" w:rsidRPr="00B74333">
        <w:t xml:space="preserve"> </w:t>
      </w:r>
      <w:r w:rsidR="007D0463" w:rsidRPr="00B74333">
        <w:t xml:space="preserve">for completeness and compliance with respective requirements. Those Binding Bids that are accepted at this stage will be considered as part of the preliminary </w:t>
      </w:r>
      <w:r w:rsidR="00D71CB7" w:rsidRPr="00B74333">
        <w:t>c</w:t>
      </w:r>
      <w:r w:rsidR="007D0463" w:rsidRPr="00B74333">
        <w:t xml:space="preserve">apacity </w:t>
      </w:r>
      <w:r w:rsidR="00D71CB7" w:rsidRPr="00B74333">
        <w:t>a</w:t>
      </w:r>
      <w:r w:rsidR="007D0463" w:rsidRPr="00B74333">
        <w:t xml:space="preserve">llocation procedure </w:t>
      </w:r>
      <w:r w:rsidR="004D4B7B" w:rsidRPr="00B74333">
        <w:t>according</w:t>
      </w:r>
      <w:r w:rsidR="00C71032" w:rsidRPr="00B74333">
        <w:t xml:space="preserve"> to</w:t>
      </w:r>
      <w:r w:rsidR="007D0463" w:rsidRPr="00B74333">
        <w:t xml:space="preserve"> Section </w:t>
      </w:r>
      <w:r w:rsidR="002004CC" w:rsidRPr="00B74333">
        <w:t>5.4</w:t>
      </w:r>
      <w:r w:rsidR="007D0463" w:rsidRPr="00B74333">
        <w:t xml:space="preserve"> </w:t>
      </w:r>
      <w:r w:rsidR="004D4B7B" w:rsidRPr="00B74333">
        <w:t xml:space="preserve">of the </w:t>
      </w:r>
      <w:r w:rsidR="002004CC" w:rsidRPr="00B74333">
        <w:t>Guidelines</w:t>
      </w:r>
      <w:r w:rsidR="007D0463" w:rsidRPr="00B74333">
        <w:t xml:space="preserve">. </w:t>
      </w:r>
    </w:p>
    <w:p w14:paraId="4511C104" w14:textId="748BE695" w:rsidR="00D71CB7" w:rsidRPr="00B74333" w:rsidRDefault="007D0463">
      <w:pPr>
        <w:pStyle w:val="ListParagraph"/>
        <w:widowControl w:val="0"/>
        <w:numPr>
          <w:ilvl w:val="1"/>
          <w:numId w:val="20"/>
        </w:numPr>
        <w:suppressAutoHyphens/>
        <w:spacing w:before="120" w:after="120" w:line="360" w:lineRule="auto"/>
        <w:ind w:left="426" w:hanging="568"/>
        <w:jc w:val="both"/>
      </w:pPr>
      <w:r w:rsidRPr="00B74333">
        <w:t xml:space="preserve">In case of rejection of a Binding Bid, </w:t>
      </w:r>
      <w:r w:rsidR="004D4B7B" w:rsidRPr="00B74333">
        <w:t>DESFA will</w:t>
      </w:r>
      <w:r w:rsidR="009B7E65" w:rsidRPr="00B74333">
        <w:t xml:space="preserve"> </w:t>
      </w:r>
      <w:r w:rsidRPr="00B74333">
        <w:t>notify the relevant Participant</w:t>
      </w:r>
      <w:r w:rsidR="00212547" w:rsidRPr="00B74333">
        <w:t>, justifying the reasons for rejection</w:t>
      </w:r>
      <w:r w:rsidR="001A0292" w:rsidRPr="00B74333">
        <w:t>,</w:t>
      </w:r>
      <w:r w:rsidR="00CE70DB" w:rsidRPr="00B74333">
        <w:t xml:space="preserve"> within five</w:t>
      </w:r>
      <w:r w:rsidR="00C71032" w:rsidRPr="00B74333">
        <w:t xml:space="preserve"> (5)</w:t>
      </w:r>
      <w:r w:rsidR="00CE70DB" w:rsidRPr="00B74333">
        <w:t xml:space="preserve"> business days from the end of the Bid Submission Window</w:t>
      </w:r>
      <w:r w:rsidR="00212547" w:rsidRPr="00B74333">
        <w:t xml:space="preserve">. </w:t>
      </w:r>
      <w:r w:rsidR="00CE70DB" w:rsidRPr="00B74333">
        <w:t xml:space="preserve">This communication shall also be notified to </w:t>
      </w:r>
      <w:r w:rsidR="00CD5B50" w:rsidRPr="00B74333">
        <w:t>RA</w:t>
      </w:r>
      <w:r w:rsidR="00940449" w:rsidRPr="00B74333">
        <w:t>E</w:t>
      </w:r>
      <w:r w:rsidR="00CD5B50" w:rsidRPr="00B74333">
        <w:t>WW</w:t>
      </w:r>
      <w:r w:rsidRPr="00B74333">
        <w:t xml:space="preserve"> </w:t>
      </w:r>
      <w:r w:rsidR="00CE70DB" w:rsidRPr="00B74333">
        <w:t xml:space="preserve">within the same </w:t>
      </w:r>
      <w:r w:rsidR="001A0292" w:rsidRPr="00B74333">
        <w:t>deadline</w:t>
      </w:r>
      <w:r w:rsidRPr="00B74333">
        <w:t>.</w:t>
      </w:r>
      <w:r w:rsidR="008C0F40" w:rsidRPr="00B74333">
        <w:t xml:space="preserve"> </w:t>
      </w:r>
      <w:r w:rsidR="00290316" w:rsidRPr="00B74333">
        <w:t xml:space="preserve">DESFA shall also </w:t>
      </w:r>
      <w:r w:rsidR="008C0F40" w:rsidRPr="00B74333">
        <w:t>notify</w:t>
      </w:r>
      <w:r w:rsidR="00940449" w:rsidRPr="00B74333">
        <w:t xml:space="preserve"> </w:t>
      </w:r>
      <w:r w:rsidR="7E2B0FC4" w:rsidRPr="00B74333">
        <w:rPr>
          <w:rFonts w:ascii="Calibri" w:eastAsia="Calibri" w:hAnsi="Calibri" w:cs="Calibri"/>
        </w:rPr>
        <w:t>and align with</w:t>
      </w:r>
      <w:r w:rsidR="00940449" w:rsidRPr="00B74333">
        <w:rPr>
          <w:rFonts w:ascii="Calibri" w:eastAsia="Calibri" w:hAnsi="Calibri" w:cs="Calibri"/>
        </w:rPr>
        <w:t xml:space="preserve"> </w:t>
      </w:r>
      <w:r w:rsidR="00940449" w:rsidRPr="00B74333">
        <w:t xml:space="preserve">the </w:t>
      </w:r>
      <w:r w:rsidR="00362354" w:rsidRPr="00B74333">
        <w:t>TSO</w:t>
      </w:r>
      <w:r w:rsidR="064188B4" w:rsidRPr="00B74333">
        <w:t>s</w:t>
      </w:r>
      <w:r w:rsidR="00362354" w:rsidRPr="00B74333">
        <w:t xml:space="preserve"> </w:t>
      </w:r>
      <w:r w:rsidR="00C74329" w:rsidRPr="00B74333">
        <w:t>C</w:t>
      </w:r>
      <w:r w:rsidR="00362354" w:rsidRPr="00B74333">
        <w:t>oncerned</w:t>
      </w:r>
      <w:r w:rsidR="008C0F40" w:rsidRPr="00B74333">
        <w:t xml:space="preserve"> </w:t>
      </w:r>
      <w:r w:rsidR="00290316" w:rsidRPr="00B74333">
        <w:t xml:space="preserve">for the rejection within the same </w:t>
      </w:r>
      <w:r w:rsidR="001A0292" w:rsidRPr="00B74333">
        <w:t>deadline</w:t>
      </w:r>
      <w:r w:rsidR="00362354" w:rsidRPr="00B74333">
        <w:t xml:space="preserve">, in the case of </w:t>
      </w:r>
      <w:r w:rsidR="00936D3C" w:rsidRPr="00B74333">
        <w:t>Bindi</w:t>
      </w:r>
      <w:r w:rsidR="009E7A79" w:rsidRPr="00B74333">
        <w:t>ng Bids at the respective IPs</w:t>
      </w:r>
      <w:r w:rsidR="00290316" w:rsidRPr="00B74333">
        <w:t>.</w:t>
      </w:r>
    </w:p>
    <w:p w14:paraId="552695D6" w14:textId="4A1A6214" w:rsidR="00E5304B" w:rsidRPr="00B74333" w:rsidRDefault="00E5304B">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In </w:t>
      </w:r>
      <w:proofErr w:type="gramStart"/>
      <w:r w:rsidRPr="00B74333">
        <w:t>case</w:t>
      </w:r>
      <w:proofErr w:type="gramEnd"/>
      <w:r w:rsidRPr="00B74333">
        <w:t xml:space="preserve"> of </w:t>
      </w:r>
      <w:r w:rsidR="00C24A87" w:rsidRPr="00B74333">
        <w:t>E</w:t>
      </w:r>
      <w:r w:rsidRPr="00B74333">
        <w:t xml:space="preserve">qual </w:t>
      </w:r>
      <w:r w:rsidR="00C24A87" w:rsidRPr="00B74333">
        <w:t>M</w:t>
      </w:r>
      <w:r w:rsidRPr="00B74333">
        <w:t xml:space="preserve">arginal </w:t>
      </w:r>
      <w:r w:rsidR="00C24A87" w:rsidRPr="00B74333">
        <w:t>B</w:t>
      </w:r>
      <w:r w:rsidRPr="00B74333">
        <w:t>ids</w:t>
      </w:r>
      <w:r w:rsidR="00D1651E" w:rsidRPr="00B74333">
        <w:t xml:space="preserve">, according to </w:t>
      </w:r>
      <w:r w:rsidR="00BB7636" w:rsidRPr="00B74333">
        <w:t>S</w:t>
      </w:r>
      <w:r w:rsidR="00D1651E" w:rsidRPr="00B74333">
        <w:t xml:space="preserve">ection </w:t>
      </w:r>
      <w:r w:rsidR="009E7A79" w:rsidRPr="00B74333">
        <w:t>5</w:t>
      </w:r>
      <w:r w:rsidR="00D1651E" w:rsidRPr="00B74333">
        <w:t xml:space="preserve">.5 of the </w:t>
      </w:r>
      <w:r w:rsidR="00551A7A" w:rsidRPr="00B74333">
        <w:t xml:space="preserve">Guidelines </w:t>
      </w:r>
      <w:r w:rsidR="00B0365E" w:rsidRPr="00B74333">
        <w:t xml:space="preserve">and the </w:t>
      </w:r>
      <w:r w:rsidR="00D1651E" w:rsidRPr="00B74333">
        <w:t>Project Proposal</w:t>
      </w:r>
      <w:r w:rsidR="00B0365E" w:rsidRPr="00B74333">
        <w:t>s</w:t>
      </w:r>
      <w:r w:rsidR="00D1651E" w:rsidRPr="00B74333">
        <w:t xml:space="preserve">, </w:t>
      </w:r>
      <w:r w:rsidR="00294D3A" w:rsidRPr="00B74333">
        <w:t xml:space="preserve">the Equal Marginal Bids shall be curtailed on a pro-rata basis so that there is no Marginal Bid remaining. </w:t>
      </w:r>
    </w:p>
    <w:p w14:paraId="444F1559" w14:textId="4888A949" w:rsidR="004431C2" w:rsidRPr="00B74333" w:rsidRDefault="004431C2">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Binding Bids will be processed subject to the Participants meeting the requirements set out in </w:t>
      </w:r>
      <w:r w:rsidR="00542694" w:rsidRPr="00B74333">
        <w:t>S</w:t>
      </w:r>
      <w:r w:rsidRPr="00B74333">
        <w:t xml:space="preserve">ection </w:t>
      </w:r>
      <w:r w:rsidR="00D4320D" w:rsidRPr="00B74333">
        <w:t>5</w:t>
      </w:r>
      <w:r w:rsidRPr="00B74333">
        <w:t>.</w:t>
      </w:r>
      <w:r w:rsidR="00D4320D" w:rsidRPr="00B74333">
        <w:t>2</w:t>
      </w:r>
      <w:r w:rsidRPr="00B74333">
        <w:t xml:space="preserve"> of the</w:t>
      </w:r>
      <w:r w:rsidR="008E12FA" w:rsidRPr="00B74333">
        <w:t xml:space="preserve"> Guidelines and the</w:t>
      </w:r>
      <w:r w:rsidRPr="00B74333">
        <w:t xml:space="preserve"> Project Proposal</w:t>
      </w:r>
      <w:r w:rsidR="008E12FA" w:rsidRPr="00B74333">
        <w:t>s</w:t>
      </w:r>
      <w:r w:rsidRPr="00B74333">
        <w:t xml:space="preserve">. </w:t>
      </w:r>
      <w:r w:rsidR="002D52A5" w:rsidRPr="00B74333">
        <w:t xml:space="preserve">Participants may submit only one Binding Bid for each IP and </w:t>
      </w:r>
      <w:r w:rsidR="00B06513" w:rsidRPr="00B74333">
        <w:rPr>
          <w:rFonts w:cstheme="minorHAnsi"/>
        </w:rPr>
        <w:t>entry point</w:t>
      </w:r>
      <w:r w:rsidR="00134CD6" w:rsidRPr="00B74333">
        <w:t xml:space="preserve">, </w:t>
      </w:r>
      <w:proofErr w:type="gramStart"/>
      <w:r w:rsidR="00134CD6" w:rsidRPr="00B74333">
        <w:t>with the exception of</w:t>
      </w:r>
      <w:proofErr w:type="gramEnd"/>
      <w:r w:rsidR="00134CD6" w:rsidRPr="00B74333">
        <w:t xml:space="preserve"> Linked Bids in which case an entry point may be linked with multiple exit points</w:t>
      </w:r>
      <w:r w:rsidR="002D52A5" w:rsidRPr="00B74333">
        <w:t>. As a basic rule, in a single Binding Bid, Participants may specify only one value of incremental capacity for all gas years requested. A Binding Bid may however indicate a ramp-up over the first two years of the period to which the Binding Bid relates, with a minimum value for the first year of 40% of capacity and 70% for the second year</w:t>
      </w:r>
      <w:r w:rsidR="6248AE25" w:rsidRPr="00B74333">
        <w:t xml:space="preserve"> and/or a ramp-down over the last two years of the period to which the Binding Bid relates, with a minimum value for the second last year of 70% of capacity and 40% for the last year</w:t>
      </w:r>
      <w:r w:rsidR="3E27CD87" w:rsidRPr="00B74333">
        <w:t xml:space="preserve">. </w:t>
      </w:r>
      <w:r w:rsidR="00310F6A" w:rsidRPr="00B74333">
        <w:t xml:space="preserve">It is noted that </w:t>
      </w:r>
      <w:r w:rsidR="008D39BD" w:rsidRPr="00B74333">
        <w:t>Binding Bids by Participants will be accepted only within the limits of the guarantees which will</w:t>
      </w:r>
      <w:r w:rsidR="00C83577" w:rsidRPr="00B74333">
        <w:t xml:space="preserve"> </w:t>
      </w:r>
      <w:r w:rsidR="008D39BD" w:rsidRPr="00B74333">
        <w:t>have been presented to DESFA</w:t>
      </w:r>
      <w:r w:rsidR="00C83577" w:rsidRPr="00B74333">
        <w:t>.</w:t>
      </w:r>
      <w:r w:rsidR="008D39BD" w:rsidRPr="00B74333">
        <w:t xml:space="preserve"> </w:t>
      </w:r>
      <w:r w:rsidRPr="00B74333">
        <w:t xml:space="preserve">In the event of congestion, a ranking will be performed </w:t>
      </w:r>
      <w:r w:rsidR="00235C6B" w:rsidRPr="00B74333">
        <w:t xml:space="preserve">according to </w:t>
      </w:r>
      <w:r w:rsidRPr="00B74333">
        <w:t xml:space="preserve">Section </w:t>
      </w:r>
      <w:r w:rsidR="00235C6B" w:rsidRPr="00B74333">
        <w:lastRenderedPageBreak/>
        <w:t>5</w:t>
      </w:r>
      <w:r w:rsidR="00F9599B" w:rsidRPr="00B74333">
        <w:t>.4</w:t>
      </w:r>
      <w:r w:rsidRPr="00B74333">
        <w:t xml:space="preserve"> of the </w:t>
      </w:r>
      <w:r w:rsidR="00235C6B" w:rsidRPr="00B74333">
        <w:t xml:space="preserve">Guidelines and the </w:t>
      </w:r>
      <w:r w:rsidRPr="00B74333">
        <w:t>Project Proposal</w:t>
      </w:r>
      <w:r w:rsidR="00235C6B" w:rsidRPr="00B74333">
        <w:t>s</w:t>
      </w:r>
      <w:r w:rsidRPr="00B74333">
        <w:t>.</w:t>
      </w:r>
    </w:p>
    <w:p w14:paraId="28F2D2AC" w14:textId="02CCC6D7" w:rsidR="0059643A" w:rsidRPr="00B74333" w:rsidRDefault="0059643A">
      <w:pPr>
        <w:pStyle w:val="ListParagraph"/>
        <w:widowControl w:val="0"/>
        <w:numPr>
          <w:ilvl w:val="1"/>
          <w:numId w:val="20"/>
        </w:numPr>
        <w:suppressAutoHyphens/>
        <w:spacing w:before="120" w:after="120" w:line="360" w:lineRule="auto"/>
        <w:ind w:left="426" w:hanging="568"/>
        <w:jc w:val="both"/>
        <w:rPr>
          <w:rFonts w:cstheme="minorHAnsi"/>
        </w:rPr>
      </w:pPr>
      <w:r w:rsidRPr="00B74333">
        <w:t>Participation in the Binding Bid</w:t>
      </w:r>
      <w:r w:rsidR="005B40DA" w:rsidRPr="00B74333">
        <w:t>d</w:t>
      </w:r>
      <w:r w:rsidRPr="00B74333">
        <w:t>ing Phase shall be deemed as unreserved acceptance by the Participant of the terms and provisions of the</w:t>
      </w:r>
      <w:r w:rsidR="008A15A6" w:rsidRPr="00B74333">
        <w:t xml:space="preserve"> Guidelines, the</w:t>
      </w:r>
      <w:r w:rsidRPr="00B74333">
        <w:t xml:space="preserve"> Project Proposal</w:t>
      </w:r>
      <w:r w:rsidR="008A15A6" w:rsidRPr="00B74333">
        <w:t>s</w:t>
      </w:r>
      <w:r w:rsidRPr="00B74333">
        <w:t>, the Joint Notice</w:t>
      </w:r>
      <w:r w:rsidR="008A15A6" w:rsidRPr="00B74333">
        <w:t>s</w:t>
      </w:r>
      <w:r w:rsidRPr="00B74333">
        <w:t xml:space="preserve">, and all related documents, and as complete knowledge of their contents and of the Greek legislation applicable to </w:t>
      </w:r>
      <w:r w:rsidR="002C269C" w:rsidRPr="00B74333">
        <w:t>DESFA System</w:t>
      </w:r>
      <w:r w:rsidRPr="00B74333">
        <w:t>.</w:t>
      </w:r>
    </w:p>
    <w:p w14:paraId="0688D413" w14:textId="1B7E38BD" w:rsidR="00707B17" w:rsidRPr="00B74333" w:rsidRDefault="00707B17">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Any omission to submit the </w:t>
      </w:r>
      <w:r w:rsidR="00D41DBA" w:rsidRPr="00B74333">
        <w:t xml:space="preserve">Binding Bid Form, </w:t>
      </w:r>
      <w:r w:rsidRPr="00B74333">
        <w:t>according to the</w:t>
      </w:r>
      <w:r w:rsidR="00AC190E" w:rsidRPr="00B74333">
        <w:t xml:space="preserve"> Guidelines</w:t>
      </w:r>
      <w:r w:rsidR="00922204" w:rsidRPr="00B74333">
        <w:t>,</w:t>
      </w:r>
      <w:r w:rsidRPr="00B74333">
        <w:t xml:space="preserve"> Project </w:t>
      </w:r>
      <w:proofErr w:type="gramStart"/>
      <w:r w:rsidRPr="00B74333">
        <w:t>Proposal</w:t>
      </w:r>
      <w:r w:rsidR="00922204" w:rsidRPr="00B74333">
        <w:t>s</w:t>
      </w:r>
      <w:proofErr w:type="gramEnd"/>
      <w:r w:rsidRPr="00B74333">
        <w:t xml:space="preserve"> </w:t>
      </w:r>
      <w:r w:rsidR="001515EB" w:rsidRPr="00B74333">
        <w:t xml:space="preserve">and </w:t>
      </w:r>
      <w:r w:rsidR="0043121C" w:rsidRPr="00B74333">
        <w:t>the Joint Notice</w:t>
      </w:r>
      <w:r w:rsidR="00922204" w:rsidRPr="00B74333">
        <w:t>s</w:t>
      </w:r>
      <w:r w:rsidR="0043121C" w:rsidRPr="00B74333">
        <w:t xml:space="preserve">, </w:t>
      </w:r>
      <w:r w:rsidRPr="00B74333">
        <w:t xml:space="preserve">as well as the omission of a signature on any document submitted to DESFA does not </w:t>
      </w:r>
      <w:r w:rsidR="00F34B86" w:rsidRPr="00B74333">
        <w:t xml:space="preserve">give any right to </w:t>
      </w:r>
      <w:r w:rsidRPr="00B74333">
        <w:t xml:space="preserve">the Participant to invoke this fact in its favor in any way. The Participant shall be responsible for and be bound by its Binding </w:t>
      </w:r>
      <w:r w:rsidR="00700CAE" w:rsidRPr="00B74333">
        <w:t xml:space="preserve">Bid </w:t>
      </w:r>
      <w:r w:rsidRPr="00B74333">
        <w:t>as submitted</w:t>
      </w:r>
      <w:r w:rsidR="00157938" w:rsidRPr="00B74333">
        <w:t>.</w:t>
      </w:r>
    </w:p>
    <w:p w14:paraId="4A3C8A3C" w14:textId="7A91F7A6" w:rsidR="001F2B9D" w:rsidRPr="00B74333" w:rsidRDefault="001F2B9D">
      <w:pPr>
        <w:pStyle w:val="ListParagraph"/>
        <w:widowControl w:val="0"/>
        <w:numPr>
          <w:ilvl w:val="1"/>
          <w:numId w:val="20"/>
        </w:numPr>
        <w:suppressAutoHyphens/>
        <w:spacing w:before="120" w:after="120" w:line="360" w:lineRule="auto"/>
        <w:ind w:left="426" w:hanging="568"/>
        <w:jc w:val="both"/>
        <w:rPr>
          <w:rFonts w:cstheme="minorHAnsi"/>
        </w:rPr>
      </w:pPr>
      <w:r w:rsidRPr="00B74333">
        <w:t xml:space="preserve">All costs associated with </w:t>
      </w:r>
      <w:r w:rsidR="004A2C1C" w:rsidRPr="00B74333">
        <w:t>participation</w:t>
      </w:r>
      <w:r w:rsidRPr="00B74333">
        <w:t xml:space="preserve"> in the </w:t>
      </w:r>
      <w:r w:rsidR="00F474B2" w:rsidRPr="00B74333">
        <w:t xml:space="preserve">Market Test </w:t>
      </w:r>
      <w:r w:rsidRPr="00B74333">
        <w:t xml:space="preserve">Process shall be entirely borne by the respective Participant, as the case may be. An exclusion from the </w:t>
      </w:r>
      <w:r w:rsidR="00D6505E" w:rsidRPr="00B74333">
        <w:t xml:space="preserve">Market Test </w:t>
      </w:r>
      <w:r w:rsidRPr="00B74333">
        <w:t>Process, including present Binding Bid</w:t>
      </w:r>
      <w:r w:rsidR="006C2509" w:rsidRPr="00B74333">
        <w:t>d</w:t>
      </w:r>
      <w:r w:rsidRPr="00B74333">
        <w:t xml:space="preserve">ing Phase shall not give any right to the respective Participant to claim reimbursement of any costs associated with the participation in the </w:t>
      </w:r>
      <w:r w:rsidR="00D6505E" w:rsidRPr="00B74333">
        <w:t xml:space="preserve">Market Test </w:t>
      </w:r>
      <w:r w:rsidRPr="00B74333">
        <w:t>Process and this Binding Bi</w:t>
      </w:r>
      <w:r w:rsidR="006C2509" w:rsidRPr="00B74333">
        <w:t>d</w:t>
      </w:r>
      <w:r w:rsidRPr="00B74333">
        <w:t>ding Phase.</w:t>
      </w:r>
    </w:p>
    <w:p w14:paraId="0F8FF585" w14:textId="77777777" w:rsidR="00707B17" w:rsidRPr="00B74333" w:rsidRDefault="00707B17" w:rsidP="004431C2">
      <w:pPr>
        <w:widowControl w:val="0"/>
        <w:suppressAutoHyphens/>
        <w:spacing w:after="120" w:line="360" w:lineRule="auto"/>
        <w:jc w:val="both"/>
        <w:rPr>
          <w:rFonts w:cstheme="minorHAnsi"/>
        </w:rPr>
      </w:pPr>
    </w:p>
    <w:p w14:paraId="20CA9B00" w14:textId="77777777" w:rsidR="0035200D" w:rsidRPr="00B74333" w:rsidRDefault="0035200D" w:rsidP="00E77C68">
      <w:pPr>
        <w:pStyle w:val="Heading1"/>
        <w:spacing w:after="160"/>
        <w:ind w:left="426"/>
      </w:pPr>
      <w:bookmarkStart w:id="45" w:name="_Toc71289528"/>
      <w:bookmarkStart w:id="46" w:name="_Toc165465559"/>
      <w:r w:rsidRPr="00B74333">
        <w:t xml:space="preserve">Article </w:t>
      </w:r>
      <w:r w:rsidR="00A0148C" w:rsidRPr="00B74333">
        <w:t>6</w:t>
      </w:r>
      <w:r w:rsidRPr="00B74333">
        <w:t xml:space="preserve"> - Economic Test Parameters</w:t>
      </w:r>
      <w:bookmarkEnd w:id="45"/>
      <w:bookmarkEnd w:id="46"/>
      <w:r w:rsidRPr="00B74333">
        <w:t xml:space="preserve"> </w:t>
      </w:r>
    </w:p>
    <w:p w14:paraId="17A924DF" w14:textId="32614334" w:rsidR="0035200D" w:rsidRPr="00B74333" w:rsidRDefault="00CE79D1" w:rsidP="00CE79D1">
      <w:pPr>
        <w:widowControl w:val="0"/>
        <w:suppressAutoHyphens/>
        <w:spacing w:after="120"/>
        <w:ind w:left="426"/>
        <w:rPr>
          <w:rFonts w:cstheme="minorHAnsi"/>
        </w:rPr>
      </w:pPr>
      <w:r w:rsidRPr="00B74333">
        <w:rPr>
          <w:rFonts w:cstheme="minorHAnsi"/>
        </w:rPr>
        <w:t>Please refer to</w:t>
      </w:r>
      <w:r w:rsidR="008D63AF" w:rsidRPr="00B74333">
        <w:rPr>
          <w:rFonts w:cstheme="minorHAnsi"/>
        </w:rPr>
        <w:t xml:space="preserve"> </w:t>
      </w:r>
      <w:r w:rsidR="0035200D" w:rsidRPr="00B74333">
        <w:rPr>
          <w:rFonts w:cstheme="minorHAnsi"/>
        </w:rPr>
        <w:t>Annex V</w:t>
      </w:r>
      <w:r w:rsidR="008A0993" w:rsidRPr="00B74333">
        <w:rPr>
          <w:rFonts w:cstheme="minorHAnsi"/>
        </w:rPr>
        <w:t>I</w:t>
      </w:r>
      <w:r w:rsidR="00A6069C" w:rsidRPr="00B74333">
        <w:rPr>
          <w:rFonts w:cstheme="minorHAnsi"/>
        </w:rPr>
        <w:t>.</w:t>
      </w:r>
    </w:p>
    <w:p w14:paraId="4EF838A2" w14:textId="77777777" w:rsidR="0035200D" w:rsidRPr="00B74333" w:rsidRDefault="0035200D" w:rsidP="004431C2">
      <w:pPr>
        <w:widowControl w:val="0"/>
        <w:suppressAutoHyphens/>
        <w:spacing w:after="120" w:line="360" w:lineRule="auto"/>
        <w:jc w:val="both"/>
        <w:rPr>
          <w:rFonts w:cstheme="minorHAnsi"/>
        </w:rPr>
      </w:pPr>
    </w:p>
    <w:p w14:paraId="23A16C7B" w14:textId="65E3FF17" w:rsidR="00A243F1" w:rsidRPr="00B74333" w:rsidRDefault="003D5005" w:rsidP="00E77C68">
      <w:pPr>
        <w:pStyle w:val="Heading1"/>
        <w:spacing w:after="160"/>
        <w:ind w:left="426"/>
      </w:pPr>
      <w:bookmarkStart w:id="47" w:name="_Toc71289529"/>
      <w:bookmarkStart w:id="48" w:name="_Toc165465560"/>
      <w:r w:rsidRPr="00B74333">
        <w:t xml:space="preserve">Article </w:t>
      </w:r>
      <w:r w:rsidR="00A0148C" w:rsidRPr="00B74333">
        <w:t>7</w:t>
      </w:r>
      <w:r w:rsidRPr="00B74333">
        <w:t xml:space="preserve"> - </w:t>
      </w:r>
      <w:r w:rsidR="00A243F1" w:rsidRPr="00B74333">
        <w:t>Capacity Allocation</w:t>
      </w:r>
      <w:r w:rsidR="00F946C3" w:rsidRPr="00B74333">
        <w:t xml:space="preserve"> </w:t>
      </w:r>
      <w:r w:rsidR="00800D1F" w:rsidRPr="00B74333">
        <w:t xml:space="preserve">and GTA </w:t>
      </w:r>
      <w:proofErr w:type="gramStart"/>
      <w:r w:rsidR="00800D1F" w:rsidRPr="00B74333">
        <w:t>signing</w:t>
      </w:r>
      <w:bookmarkEnd w:id="47"/>
      <w:bookmarkEnd w:id="48"/>
      <w:proofErr w:type="gramEnd"/>
    </w:p>
    <w:p w14:paraId="02CB650F" w14:textId="17238ACF" w:rsidR="007D0463" w:rsidRPr="00B74333" w:rsidRDefault="007D0463">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t xml:space="preserve">The </w:t>
      </w:r>
      <w:r w:rsidR="001868CC" w:rsidRPr="00B74333">
        <w:rPr>
          <w:rFonts w:cstheme="minorHAnsi"/>
        </w:rPr>
        <w:t>a</w:t>
      </w:r>
      <w:r w:rsidRPr="00B74333">
        <w:rPr>
          <w:rFonts w:cstheme="minorHAnsi"/>
        </w:rPr>
        <w:t xml:space="preserve">llocation of </w:t>
      </w:r>
      <w:r w:rsidR="00F209C1" w:rsidRPr="00B74333">
        <w:rPr>
          <w:rFonts w:cstheme="minorHAnsi"/>
        </w:rPr>
        <w:t xml:space="preserve">the </w:t>
      </w:r>
      <w:r w:rsidRPr="00B74333">
        <w:rPr>
          <w:rFonts w:cstheme="minorHAnsi"/>
        </w:rPr>
        <w:t xml:space="preserve">incremental capacity </w:t>
      </w:r>
      <w:r w:rsidR="004C2978" w:rsidRPr="00B74333">
        <w:rPr>
          <w:rFonts w:cstheme="minorHAnsi"/>
        </w:rPr>
        <w:t xml:space="preserve">shall </w:t>
      </w:r>
      <w:r w:rsidR="00F209C1" w:rsidRPr="00B74333">
        <w:rPr>
          <w:rFonts w:cstheme="minorHAnsi"/>
        </w:rPr>
        <w:t xml:space="preserve">follow the rules described in </w:t>
      </w:r>
      <w:r w:rsidR="00542694" w:rsidRPr="00B74333">
        <w:rPr>
          <w:rFonts w:cstheme="minorHAnsi"/>
        </w:rPr>
        <w:t>S</w:t>
      </w:r>
      <w:r w:rsidR="00F209C1" w:rsidRPr="00B74333">
        <w:rPr>
          <w:rFonts w:cstheme="minorHAnsi"/>
        </w:rPr>
        <w:t xml:space="preserve">ection </w:t>
      </w:r>
      <w:r w:rsidR="00EF5188" w:rsidRPr="00B74333">
        <w:rPr>
          <w:rFonts w:cstheme="minorHAnsi"/>
        </w:rPr>
        <w:t>5</w:t>
      </w:r>
      <w:r w:rsidR="00F209C1" w:rsidRPr="00B74333">
        <w:rPr>
          <w:rFonts w:cstheme="minorHAnsi"/>
        </w:rPr>
        <w:t>.4 of the</w:t>
      </w:r>
      <w:r w:rsidR="00CA3892" w:rsidRPr="00B74333">
        <w:rPr>
          <w:rFonts w:cstheme="minorHAnsi"/>
        </w:rPr>
        <w:t xml:space="preserve"> Guidelines and</w:t>
      </w:r>
      <w:r w:rsidR="00687F09" w:rsidRPr="00B74333">
        <w:rPr>
          <w:rFonts w:cstheme="minorHAnsi"/>
        </w:rPr>
        <w:t xml:space="preserve"> the</w:t>
      </w:r>
      <w:r w:rsidR="00F209C1" w:rsidRPr="00B74333">
        <w:rPr>
          <w:rFonts w:cstheme="minorHAnsi"/>
        </w:rPr>
        <w:t xml:space="preserve"> Project Proposal</w:t>
      </w:r>
      <w:r w:rsidR="00687F09" w:rsidRPr="00B74333">
        <w:rPr>
          <w:rFonts w:cstheme="minorHAnsi"/>
        </w:rPr>
        <w:t>s</w:t>
      </w:r>
      <w:r w:rsidRPr="00B74333">
        <w:rPr>
          <w:rFonts w:cstheme="minorHAnsi"/>
        </w:rPr>
        <w:t xml:space="preserve">. </w:t>
      </w:r>
      <w:r w:rsidR="00F209C1" w:rsidRPr="00B74333">
        <w:rPr>
          <w:rFonts w:cstheme="minorHAnsi"/>
        </w:rPr>
        <w:t xml:space="preserve">In case of </w:t>
      </w:r>
      <w:r w:rsidR="00FB0311" w:rsidRPr="00B74333">
        <w:rPr>
          <w:rFonts w:cstheme="minorHAnsi"/>
        </w:rPr>
        <w:t xml:space="preserve">the existence of </w:t>
      </w:r>
      <w:r w:rsidR="00F209C1" w:rsidRPr="00B74333">
        <w:rPr>
          <w:rFonts w:cstheme="minorHAnsi"/>
        </w:rPr>
        <w:t>Equal Marginal Bids (EMB)</w:t>
      </w:r>
      <w:r w:rsidR="00FB0311" w:rsidRPr="00B74333">
        <w:rPr>
          <w:rFonts w:cstheme="minorHAnsi"/>
        </w:rPr>
        <w:t xml:space="preserve">, the rules described in </w:t>
      </w:r>
      <w:r w:rsidR="00542694" w:rsidRPr="00B74333">
        <w:rPr>
          <w:rFonts w:cstheme="minorHAnsi"/>
        </w:rPr>
        <w:t>Section</w:t>
      </w:r>
      <w:r w:rsidR="0007126C" w:rsidRPr="00B74333">
        <w:rPr>
          <w:rFonts w:cstheme="minorHAnsi"/>
        </w:rPr>
        <w:t>s</w:t>
      </w:r>
      <w:r w:rsidR="00FB0311" w:rsidRPr="00B74333">
        <w:rPr>
          <w:rFonts w:cstheme="minorHAnsi"/>
        </w:rPr>
        <w:t xml:space="preserve"> </w:t>
      </w:r>
      <w:r w:rsidR="00687F09" w:rsidRPr="00B74333">
        <w:rPr>
          <w:rFonts w:cstheme="minorHAnsi"/>
        </w:rPr>
        <w:t>5</w:t>
      </w:r>
      <w:r w:rsidR="00FB0311" w:rsidRPr="00B74333">
        <w:rPr>
          <w:rFonts w:cstheme="minorHAnsi"/>
        </w:rPr>
        <w:t>.</w:t>
      </w:r>
      <w:r w:rsidR="005D088D" w:rsidRPr="00B74333">
        <w:rPr>
          <w:rFonts w:cstheme="minorHAnsi"/>
        </w:rPr>
        <w:t>5</w:t>
      </w:r>
      <w:r w:rsidR="00FB0311" w:rsidRPr="00B74333">
        <w:rPr>
          <w:rFonts w:cstheme="minorHAnsi"/>
        </w:rPr>
        <w:t xml:space="preserve"> </w:t>
      </w:r>
      <w:r w:rsidR="004C2978" w:rsidRPr="00B74333">
        <w:rPr>
          <w:rFonts w:cstheme="minorHAnsi"/>
        </w:rPr>
        <w:t>shall</w:t>
      </w:r>
      <w:r w:rsidR="00FB0311" w:rsidRPr="00B74333">
        <w:rPr>
          <w:rFonts w:cstheme="minorHAnsi"/>
        </w:rPr>
        <w:t xml:space="preserve"> also apply.</w:t>
      </w:r>
      <w:r w:rsidR="005D088D" w:rsidRPr="00B74333">
        <w:rPr>
          <w:rFonts w:cstheme="minorHAnsi"/>
        </w:rPr>
        <w:t xml:space="preserve"> </w:t>
      </w:r>
    </w:p>
    <w:p w14:paraId="4FF090AB" w14:textId="5ADA3666" w:rsidR="007D0463" w:rsidRPr="00B74333" w:rsidRDefault="006A2B70">
      <w:pPr>
        <w:pStyle w:val="ListParagraph"/>
        <w:widowControl w:val="0"/>
        <w:numPr>
          <w:ilvl w:val="1"/>
          <w:numId w:val="28"/>
        </w:numPr>
        <w:suppressAutoHyphens/>
        <w:spacing w:before="120" w:after="120" w:line="360" w:lineRule="auto"/>
        <w:ind w:left="426" w:hanging="568"/>
        <w:jc w:val="both"/>
        <w:rPr>
          <w:rFonts w:cstheme="minorHAnsi"/>
        </w:rPr>
      </w:pPr>
      <w:r w:rsidRPr="00B74333">
        <w:rPr>
          <w:rStyle w:val="normaltextrun"/>
          <w:rFonts w:cstheme="minorHAnsi"/>
          <w:color w:val="000000"/>
          <w:shd w:val="clear" w:color="auto" w:fill="FFFFFF"/>
        </w:rPr>
        <w:t xml:space="preserve">The EVT concerns the DESFA side of the IPs and includes the DESFA side of any IP and any </w:t>
      </w:r>
      <w:r w:rsidR="00B06513" w:rsidRPr="00B74333">
        <w:rPr>
          <w:rFonts w:cstheme="minorHAnsi"/>
        </w:rPr>
        <w:t>entry point</w:t>
      </w:r>
      <w:r w:rsidRPr="00B74333">
        <w:rPr>
          <w:rStyle w:val="normaltextrun"/>
          <w:rFonts w:cstheme="minorHAnsi"/>
          <w:color w:val="000000"/>
          <w:shd w:val="clear" w:color="auto" w:fill="FFFFFF"/>
        </w:rPr>
        <w:t xml:space="preserve"> where incremental capacity is offered according to the Guidelines.</w:t>
      </w:r>
      <w:r w:rsidR="00056F0A" w:rsidRPr="00B74333">
        <w:rPr>
          <w:rStyle w:val="normaltextrun"/>
          <w:rFonts w:cstheme="minorHAnsi"/>
          <w:color w:val="000000"/>
          <w:shd w:val="clear" w:color="auto" w:fill="FFFFFF"/>
        </w:rPr>
        <w:t xml:space="preserve"> </w:t>
      </w:r>
      <w:r w:rsidR="007D0463" w:rsidRPr="00B74333">
        <w:rPr>
          <w:rFonts w:cstheme="minorHAnsi"/>
        </w:rPr>
        <w:t>The EVT</w:t>
      </w:r>
      <w:r w:rsidR="00316524" w:rsidRPr="00B74333" w:rsidDel="00A74654">
        <w:rPr>
          <w:rFonts w:cstheme="minorHAnsi"/>
        </w:rPr>
        <w:t xml:space="preserve"> </w:t>
      </w:r>
      <w:r w:rsidR="00F946C3" w:rsidRPr="00B74333">
        <w:rPr>
          <w:rFonts w:cstheme="minorHAnsi"/>
        </w:rPr>
        <w:t xml:space="preserve">will be carried out </w:t>
      </w:r>
      <w:r w:rsidR="00316524" w:rsidRPr="00B74333">
        <w:rPr>
          <w:rFonts w:cstheme="minorHAnsi"/>
        </w:rPr>
        <w:t xml:space="preserve">according to the procedure described in </w:t>
      </w:r>
      <w:r w:rsidR="00542694" w:rsidRPr="00B74333">
        <w:rPr>
          <w:rFonts w:cstheme="minorHAnsi"/>
        </w:rPr>
        <w:t>Section</w:t>
      </w:r>
      <w:r w:rsidR="00316524" w:rsidRPr="00B74333">
        <w:rPr>
          <w:rFonts w:cstheme="minorHAnsi"/>
        </w:rPr>
        <w:t xml:space="preserve"> </w:t>
      </w:r>
      <w:r w:rsidR="00056F0A" w:rsidRPr="00B74333">
        <w:rPr>
          <w:rFonts w:cstheme="minorHAnsi"/>
        </w:rPr>
        <w:t>5</w:t>
      </w:r>
      <w:r w:rsidR="00316524" w:rsidRPr="00B74333">
        <w:rPr>
          <w:rFonts w:cstheme="minorHAnsi"/>
        </w:rPr>
        <w:t xml:space="preserve">.6 of the </w:t>
      </w:r>
      <w:r w:rsidR="00056F0A" w:rsidRPr="00B74333">
        <w:rPr>
          <w:rFonts w:cstheme="minorHAnsi"/>
        </w:rPr>
        <w:t>Guidelines</w:t>
      </w:r>
      <w:r w:rsidR="00316524" w:rsidRPr="00B74333">
        <w:rPr>
          <w:rFonts w:cstheme="minorHAnsi"/>
        </w:rPr>
        <w:t xml:space="preserve">. </w:t>
      </w:r>
      <w:r w:rsidR="007D0463" w:rsidRPr="00B74333">
        <w:rPr>
          <w:rFonts w:cstheme="minorHAnsi"/>
        </w:rPr>
        <w:t xml:space="preserve">For DESFA, the EVT </w:t>
      </w:r>
      <w:r w:rsidR="00316524" w:rsidRPr="00B74333">
        <w:rPr>
          <w:rFonts w:cstheme="minorHAnsi"/>
        </w:rPr>
        <w:t xml:space="preserve">will </w:t>
      </w:r>
      <w:proofErr w:type="gramStart"/>
      <w:r w:rsidR="00316524" w:rsidRPr="00B74333">
        <w:rPr>
          <w:rFonts w:cstheme="minorHAnsi"/>
        </w:rPr>
        <w:t>take</w:t>
      </w:r>
      <w:r w:rsidR="007D0463" w:rsidRPr="00B74333">
        <w:rPr>
          <w:rFonts w:cstheme="minorHAnsi"/>
        </w:rPr>
        <w:t xml:space="preserve"> into account</w:t>
      </w:r>
      <w:proofErr w:type="gramEnd"/>
      <w:r w:rsidR="007D0463" w:rsidRPr="00B74333">
        <w:rPr>
          <w:rFonts w:cstheme="minorHAnsi"/>
        </w:rPr>
        <w:t xml:space="preserve"> the </w:t>
      </w:r>
      <w:r w:rsidR="00716459" w:rsidRPr="00B74333">
        <w:rPr>
          <w:rFonts w:cstheme="minorHAnsi"/>
        </w:rPr>
        <w:t xml:space="preserve">parameters of Annex </w:t>
      </w:r>
      <w:r w:rsidR="00BB53F6" w:rsidRPr="00B74333">
        <w:rPr>
          <w:rFonts w:cstheme="minorHAnsi"/>
        </w:rPr>
        <w:t>V</w:t>
      </w:r>
      <w:r w:rsidR="008A0993" w:rsidRPr="00B74333">
        <w:rPr>
          <w:rFonts w:cstheme="minorHAnsi"/>
        </w:rPr>
        <w:t>I</w:t>
      </w:r>
      <w:r w:rsidR="00AF1984" w:rsidRPr="00B74333">
        <w:rPr>
          <w:rFonts w:cstheme="minorHAnsi"/>
        </w:rPr>
        <w:t>,</w:t>
      </w:r>
      <w:r w:rsidR="007D0463" w:rsidRPr="00B74333">
        <w:rPr>
          <w:rFonts w:cstheme="minorHAnsi"/>
        </w:rPr>
        <w:t xml:space="preserve"> and the present value of bind</w:t>
      </w:r>
      <w:r w:rsidR="00240DAE" w:rsidRPr="00B74333">
        <w:rPr>
          <w:rFonts w:cstheme="minorHAnsi"/>
        </w:rPr>
        <w:t>ing commitments of Participants.</w:t>
      </w:r>
      <w:r w:rsidR="00A243F1" w:rsidRPr="00B74333">
        <w:rPr>
          <w:rFonts w:cstheme="minorHAnsi"/>
        </w:rPr>
        <w:t xml:space="preserve"> </w:t>
      </w:r>
      <w:r w:rsidR="007D0463" w:rsidRPr="00B74333">
        <w:rPr>
          <w:rFonts w:cstheme="minorHAnsi"/>
        </w:rPr>
        <w:t>DESFA</w:t>
      </w:r>
      <w:r w:rsidR="00240DAE" w:rsidRPr="00B74333">
        <w:rPr>
          <w:rFonts w:cstheme="minorHAnsi"/>
        </w:rPr>
        <w:t xml:space="preserve"> will</w:t>
      </w:r>
      <w:r w:rsidR="007D0463" w:rsidRPr="00B74333" w:rsidDel="00240BCF">
        <w:rPr>
          <w:rFonts w:cstheme="minorHAnsi"/>
        </w:rPr>
        <w:t xml:space="preserve"> </w:t>
      </w:r>
      <w:r w:rsidR="007D0463" w:rsidRPr="00B74333">
        <w:rPr>
          <w:rFonts w:cstheme="minorHAnsi"/>
        </w:rPr>
        <w:t>communicate</w:t>
      </w:r>
      <w:r w:rsidR="007D0463" w:rsidRPr="00B74333" w:rsidDel="00240BCF">
        <w:rPr>
          <w:rFonts w:cstheme="minorHAnsi"/>
        </w:rPr>
        <w:t xml:space="preserve"> </w:t>
      </w:r>
      <w:r w:rsidR="007D0463" w:rsidRPr="00B74333">
        <w:rPr>
          <w:rFonts w:cstheme="minorHAnsi"/>
        </w:rPr>
        <w:t xml:space="preserve">the EVT results to </w:t>
      </w:r>
      <w:r w:rsidR="00240DAE" w:rsidRPr="00B74333">
        <w:rPr>
          <w:rFonts w:cstheme="minorHAnsi"/>
        </w:rPr>
        <w:t xml:space="preserve">the </w:t>
      </w:r>
      <w:r w:rsidR="007D0463" w:rsidRPr="00B74333">
        <w:rPr>
          <w:rFonts w:cstheme="minorHAnsi"/>
        </w:rPr>
        <w:t xml:space="preserve">Participants no later than </w:t>
      </w:r>
      <w:r w:rsidR="00240BCF" w:rsidRPr="00B74333">
        <w:rPr>
          <w:rFonts w:cstheme="minorHAnsi"/>
        </w:rPr>
        <w:t>31</w:t>
      </w:r>
      <w:r w:rsidR="00745E5F" w:rsidRPr="00B74333">
        <w:rPr>
          <w:rFonts w:cstheme="minorHAnsi"/>
        </w:rPr>
        <w:t>.0</w:t>
      </w:r>
      <w:r w:rsidR="00240BCF" w:rsidRPr="00B74333">
        <w:rPr>
          <w:rFonts w:cstheme="minorHAnsi"/>
        </w:rPr>
        <w:t>8</w:t>
      </w:r>
      <w:r w:rsidR="00745E5F" w:rsidRPr="00B74333">
        <w:rPr>
          <w:rFonts w:cstheme="minorHAnsi"/>
        </w:rPr>
        <w:t>.2024</w:t>
      </w:r>
      <w:r w:rsidR="007D0463" w:rsidRPr="00B74333">
        <w:rPr>
          <w:rFonts w:cstheme="minorHAnsi"/>
        </w:rPr>
        <w:t xml:space="preserve">.  </w:t>
      </w:r>
    </w:p>
    <w:p w14:paraId="5AEACE02" w14:textId="2A0D7F30" w:rsidR="00A30180" w:rsidRPr="00B74333" w:rsidRDefault="000438EC">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t xml:space="preserve">DESFA shall proceed to the evaluation of the Binding </w:t>
      </w:r>
      <w:r w:rsidR="00BF3135" w:rsidRPr="00B74333">
        <w:rPr>
          <w:rFonts w:cstheme="minorHAnsi"/>
        </w:rPr>
        <w:t>Bids</w:t>
      </w:r>
      <w:r w:rsidRPr="00B74333">
        <w:rPr>
          <w:rFonts w:cstheme="minorHAnsi"/>
        </w:rPr>
        <w:t xml:space="preserve">, and following a positive </w:t>
      </w:r>
      <w:r w:rsidR="00F76406" w:rsidRPr="00B74333">
        <w:rPr>
          <w:rFonts w:cstheme="minorHAnsi"/>
        </w:rPr>
        <w:t>EVT</w:t>
      </w:r>
      <w:r w:rsidRPr="00B74333">
        <w:rPr>
          <w:rFonts w:cstheme="minorHAnsi"/>
        </w:rPr>
        <w:t xml:space="preserve">, shall invite the Participants to which capacity shall have been allocated to sign </w:t>
      </w:r>
      <w:r w:rsidR="00A30180" w:rsidRPr="00B74333">
        <w:rPr>
          <w:rFonts w:cstheme="minorHAnsi"/>
        </w:rPr>
        <w:t>GTA</w:t>
      </w:r>
      <w:r w:rsidRPr="00B74333">
        <w:rPr>
          <w:rFonts w:cstheme="minorHAnsi"/>
        </w:rPr>
        <w:t>s</w:t>
      </w:r>
      <w:r w:rsidR="00A30180" w:rsidRPr="00B74333">
        <w:rPr>
          <w:rFonts w:cstheme="minorHAnsi"/>
        </w:rPr>
        <w:t xml:space="preserve"> by sending </w:t>
      </w:r>
      <w:r w:rsidR="00E04626" w:rsidRPr="00B74333">
        <w:rPr>
          <w:rFonts w:cstheme="minorHAnsi"/>
        </w:rPr>
        <w:t>a</w:t>
      </w:r>
      <w:r w:rsidR="00A30180" w:rsidRPr="00B74333">
        <w:rPr>
          <w:rFonts w:cstheme="minorHAnsi"/>
        </w:rPr>
        <w:t xml:space="preserve"> </w:t>
      </w:r>
      <w:r w:rsidR="000E422D" w:rsidRPr="00B74333">
        <w:rPr>
          <w:rFonts w:cstheme="minorHAnsi"/>
        </w:rPr>
        <w:t>Transportation Confirmation</w:t>
      </w:r>
      <w:r w:rsidR="00A30180" w:rsidRPr="00B74333">
        <w:rPr>
          <w:rFonts w:cstheme="minorHAnsi"/>
        </w:rPr>
        <w:t xml:space="preserve"> to each Participant.</w:t>
      </w:r>
      <w:r w:rsidR="002140A0" w:rsidRPr="00B74333">
        <w:rPr>
          <w:rFonts w:cstheme="minorHAnsi"/>
        </w:rPr>
        <w:t xml:space="preserve"> The Form of the Transportation Confirmation can be found as an </w:t>
      </w:r>
      <w:r w:rsidR="00E94C11" w:rsidRPr="00B74333">
        <w:rPr>
          <w:rFonts w:cstheme="minorHAnsi"/>
        </w:rPr>
        <w:t xml:space="preserve">appendix </w:t>
      </w:r>
      <w:r w:rsidR="002140A0" w:rsidRPr="00B74333">
        <w:rPr>
          <w:rFonts w:cstheme="minorHAnsi"/>
        </w:rPr>
        <w:t>to the GTA.</w:t>
      </w:r>
    </w:p>
    <w:p w14:paraId="7CEE040E" w14:textId="6C9A8957" w:rsidR="00D354AB" w:rsidRPr="00B74333" w:rsidRDefault="00597437">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lastRenderedPageBreak/>
        <w:t xml:space="preserve">Where a Participant disputes the terms of the Transportation Confirmation, that Participant may seek remediation. In such </w:t>
      </w:r>
      <w:proofErr w:type="gramStart"/>
      <w:r w:rsidRPr="00B74333">
        <w:rPr>
          <w:rFonts w:cstheme="minorHAnsi"/>
        </w:rPr>
        <w:t>case</w:t>
      </w:r>
      <w:proofErr w:type="gramEnd"/>
      <w:r w:rsidRPr="00B74333">
        <w:rPr>
          <w:rFonts w:cstheme="minorHAnsi"/>
        </w:rPr>
        <w:t xml:space="preserve"> the procedure described in </w:t>
      </w:r>
      <w:r w:rsidR="002C40FB" w:rsidRPr="00B74333">
        <w:rPr>
          <w:rFonts w:cstheme="minorHAnsi"/>
        </w:rPr>
        <w:t xml:space="preserve">Articles </w:t>
      </w:r>
      <w:r w:rsidRPr="00B74333">
        <w:rPr>
          <w:rFonts w:cstheme="minorHAnsi"/>
        </w:rPr>
        <w:t>5.11</w:t>
      </w:r>
      <w:r w:rsidR="002C40FB" w:rsidRPr="00B74333">
        <w:rPr>
          <w:rFonts w:cstheme="minorHAnsi"/>
        </w:rPr>
        <w:t xml:space="preserve"> and</w:t>
      </w:r>
      <w:r w:rsidRPr="00B74333">
        <w:rPr>
          <w:rFonts w:cstheme="minorHAnsi"/>
        </w:rPr>
        <w:t xml:space="preserve"> 5.12 applies. If that process results in an outcome which affects other Participants, DESFA shall notify the affected Participants (if any), by sending them a revised Transportation Confirmation. </w:t>
      </w:r>
    </w:p>
    <w:p w14:paraId="521E8B6A" w14:textId="7B24333F" w:rsidR="00D354AB" w:rsidRPr="00B74333" w:rsidRDefault="00F14804">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t>Following the</w:t>
      </w:r>
      <w:r w:rsidR="00D354AB" w:rsidRPr="00B74333">
        <w:rPr>
          <w:rFonts w:cstheme="minorHAnsi"/>
        </w:rPr>
        <w:t xml:space="preserve"> communication of the EVT results and according to the specific provisions of </w:t>
      </w:r>
      <w:r w:rsidR="00542694" w:rsidRPr="00B74333">
        <w:rPr>
          <w:rFonts w:cstheme="minorHAnsi"/>
        </w:rPr>
        <w:t>Section</w:t>
      </w:r>
      <w:r w:rsidR="00D354AB" w:rsidRPr="00B74333">
        <w:rPr>
          <w:rFonts w:cstheme="minorHAnsi"/>
        </w:rPr>
        <w:t xml:space="preserve"> </w:t>
      </w:r>
      <w:r w:rsidR="002A7E97" w:rsidRPr="00B74333">
        <w:rPr>
          <w:rFonts w:cstheme="minorHAnsi"/>
        </w:rPr>
        <w:t>5</w:t>
      </w:r>
      <w:r w:rsidR="00D354AB" w:rsidRPr="00B74333">
        <w:rPr>
          <w:rFonts w:cstheme="minorHAnsi"/>
        </w:rPr>
        <w:t xml:space="preserve">.7 of the </w:t>
      </w:r>
      <w:r w:rsidR="002A7E97" w:rsidRPr="00B74333">
        <w:rPr>
          <w:rFonts w:cstheme="minorHAnsi"/>
        </w:rPr>
        <w:t>Guidelines</w:t>
      </w:r>
      <w:r w:rsidR="00D354AB" w:rsidRPr="00B74333">
        <w:rPr>
          <w:rFonts w:cstheme="minorHAnsi"/>
        </w:rPr>
        <w:t xml:space="preserve"> and the terms of the GTA in Annex V</w:t>
      </w:r>
      <w:r w:rsidR="00AF3EA2" w:rsidRPr="00B74333">
        <w:rPr>
          <w:rFonts w:cstheme="minorHAnsi"/>
        </w:rPr>
        <w:t>I</w:t>
      </w:r>
      <w:r w:rsidR="00D354AB" w:rsidRPr="00B74333">
        <w:rPr>
          <w:rFonts w:cstheme="minorHAnsi"/>
        </w:rPr>
        <w:t xml:space="preserve">I as approved by </w:t>
      </w:r>
      <w:r w:rsidR="00CD5B50" w:rsidRPr="00B74333">
        <w:rPr>
          <w:rFonts w:cstheme="minorHAnsi"/>
        </w:rPr>
        <w:t>RAE</w:t>
      </w:r>
      <w:r w:rsidR="002A7E97" w:rsidRPr="00B74333">
        <w:rPr>
          <w:rFonts w:cstheme="minorHAnsi"/>
        </w:rPr>
        <w:t>W</w:t>
      </w:r>
      <w:r w:rsidR="00CD5B50" w:rsidRPr="00B74333">
        <w:rPr>
          <w:rFonts w:cstheme="minorHAnsi"/>
        </w:rPr>
        <w:t>W</w:t>
      </w:r>
      <w:r w:rsidR="00D354AB" w:rsidRPr="00B74333">
        <w:rPr>
          <w:rFonts w:cstheme="minorHAnsi"/>
        </w:rPr>
        <w:t xml:space="preserve">, each successful Participant will be required to execute the GTA </w:t>
      </w:r>
      <w:r w:rsidR="0091279D" w:rsidRPr="00B74333">
        <w:rPr>
          <w:rFonts w:cstheme="minorHAnsi"/>
        </w:rPr>
        <w:t xml:space="preserve">by </w:t>
      </w:r>
      <w:r w:rsidR="00ED5CC7" w:rsidRPr="00B74333">
        <w:rPr>
          <w:rFonts w:cstheme="minorHAnsi"/>
        </w:rPr>
        <w:t>3</w:t>
      </w:r>
      <w:r w:rsidR="002A7E97" w:rsidRPr="00B74333">
        <w:rPr>
          <w:rFonts w:cstheme="minorHAnsi"/>
        </w:rPr>
        <w:t>0</w:t>
      </w:r>
      <w:r w:rsidR="00ED5CC7" w:rsidRPr="00B74333">
        <w:rPr>
          <w:rFonts w:cstheme="minorHAnsi"/>
        </w:rPr>
        <w:t>.0</w:t>
      </w:r>
      <w:r w:rsidR="00DA21A3" w:rsidRPr="00B74333">
        <w:rPr>
          <w:rFonts w:cstheme="minorHAnsi"/>
        </w:rPr>
        <w:t>9</w:t>
      </w:r>
      <w:r w:rsidR="00ED5CC7" w:rsidRPr="00B74333">
        <w:rPr>
          <w:rFonts w:cstheme="minorHAnsi"/>
        </w:rPr>
        <w:t>.2024</w:t>
      </w:r>
      <w:r w:rsidR="0091279D" w:rsidRPr="00B74333">
        <w:rPr>
          <w:rFonts w:cstheme="minorHAnsi"/>
        </w:rPr>
        <w:t xml:space="preserve"> </w:t>
      </w:r>
      <w:r w:rsidR="00D354AB" w:rsidRPr="00B74333">
        <w:rPr>
          <w:rFonts w:cstheme="minorHAnsi"/>
        </w:rPr>
        <w:t>and to provide a GTA Guarantee to DESFA</w:t>
      </w:r>
      <w:r w:rsidR="00491A4D" w:rsidRPr="00B74333">
        <w:rPr>
          <w:rFonts w:cstheme="minorHAnsi"/>
        </w:rPr>
        <w:t xml:space="preserve"> </w:t>
      </w:r>
      <w:r w:rsidR="0021433F" w:rsidRPr="00B74333">
        <w:rPr>
          <w:rFonts w:cstheme="minorHAnsi"/>
        </w:rPr>
        <w:t xml:space="preserve">according to </w:t>
      </w:r>
      <w:r w:rsidR="009156AA" w:rsidRPr="00B74333">
        <w:rPr>
          <w:rFonts w:cstheme="minorHAnsi"/>
        </w:rPr>
        <w:t xml:space="preserve">Article </w:t>
      </w:r>
      <w:r w:rsidR="0021433F" w:rsidRPr="00B74333">
        <w:rPr>
          <w:rFonts w:cstheme="minorHAnsi"/>
        </w:rPr>
        <w:t>7.6</w:t>
      </w:r>
      <w:r w:rsidR="00D354AB" w:rsidRPr="00B74333">
        <w:rPr>
          <w:rFonts w:cstheme="minorHAnsi"/>
        </w:rPr>
        <w:t xml:space="preserve">. </w:t>
      </w:r>
    </w:p>
    <w:p w14:paraId="78D744EF" w14:textId="5465E588" w:rsidR="005D50FE" w:rsidRPr="00B74333" w:rsidRDefault="00261298">
      <w:pPr>
        <w:pStyle w:val="ListParagraph"/>
        <w:widowControl w:val="0"/>
        <w:numPr>
          <w:ilvl w:val="1"/>
          <w:numId w:val="28"/>
        </w:numPr>
        <w:suppressAutoHyphens/>
        <w:spacing w:before="120" w:after="120" w:line="360" w:lineRule="auto"/>
        <w:ind w:left="426" w:hanging="568"/>
        <w:jc w:val="both"/>
        <w:rPr>
          <w:rFonts w:cstheme="minorHAnsi"/>
        </w:rPr>
      </w:pPr>
      <w:bookmarkStart w:id="49" w:name="_Toc28009905"/>
      <w:bookmarkStart w:id="50" w:name="_Toc37333769"/>
      <w:r w:rsidRPr="00B74333">
        <w:rPr>
          <w:rFonts w:cstheme="minorHAnsi"/>
        </w:rPr>
        <w:t>No later than f</w:t>
      </w:r>
      <w:r w:rsidR="00D03663" w:rsidRPr="00B74333">
        <w:rPr>
          <w:rFonts w:cstheme="minorHAnsi"/>
        </w:rPr>
        <w:t>ive</w:t>
      </w:r>
      <w:r w:rsidR="0066011E" w:rsidRPr="00B74333">
        <w:rPr>
          <w:rFonts w:cstheme="minorHAnsi"/>
        </w:rPr>
        <w:t xml:space="preserve"> (5</w:t>
      </w:r>
      <w:r w:rsidR="00BC60A5" w:rsidRPr="00B74333">
        <w:rPr>
          <w:rFonts w:cstheme="minorHAnsi"/>
        </w:rPr>
        <w:t>)</w:t>
      </w:r>
      <w:r w:rsidR="00E17A60" w:rsidRPr="00B74333">
        <w:rPr>
          <w:rFonts w:cstheme="minorHAnsi"/>
        </w:rPr>
        <w:t xml:space="preserve"> </w:t>
      </w:r>
      <w:r w:rsidR="00D03663" w:rsidRPr="00B74333">
        <w:rPr>
          <w:rFonts w:cstheme="minorHAnsi"/>
        </w:rPr>
        <w:t>days before</w:t>
      </w:r>
      <w:r w:rsidR="00D91C2E" w:rsidRPr="00B74333">
        <w:rPr>
          <w:rFonts w:cstheme="minorHAnsi"/>
        </w:rPr>
        <w:t xml:space="preserve"> the execution of the GTA</w:t>
      </w:r>
      <w:r w:rsidR="00AE2F6B" w:rsidRPr="00B74333">
        <w:rPr>
          <w:rFonts w:cstheme="minorHAnsi"/>
        </w:rPr>
        <w:t>,</w:t>
      </w:r>
      <w:r w:rsidR="00D91C2E" w:rsidRPr="00B74333">
        <w:rPr>
          <w:rFonts w:cstheme="minorHAnsi"/>
        </w:rPr>
        <w:t xml:space="preserve"> the successful Participant</w:t>
      </w:r>
      <w:r w:rsidR="002854EA" w:rsidRPr="00B74333">
        <w:rPr>
          <w:rFonts w:cstheme="minorHAnsi"/>
        </w:rPr>
        <w:t xml:space="preserve"> must </w:t>
      </w:r>
      <w:proofErr w:type="gramStart"/>
      <w:r w:rsidR="002854EA" w:rsidRPr="00B74333">
        <w:rPr>
          <w:rFonts w:cstheme="minorHAnsi"/>
        </w:rPr>
        <w:t>provide to</w:t>
      </w:r>
      <w:proofErr w:type="gramEnd"/>
      <w:r w:rsidR="002854EA" w:rsidRPr="00B74333">
        <w:rPr>
          <w:rFonts w:cstheme="minorHAnsi"/>
        </w:rPr>
        <w:t xml:space="preserve"> DESFA a</w:t>
      </w:r>
      <w:bookmarkEnd w:id="49"/>
      <w:bookmarkEnd w:id="50"/>
      <w:r w:rsidR="007D0463" w:rsidRPr="00B74333">
        <w:rPr>
          <w:rFonts w:cstheme="minorHAnsi"/>
        </w:rPr>
        <w:t xml:space="preserve"> GTA Guarantee </w:t>
      </w:r>
      <w:r w:rsidR="002854EA" w:rsidRPr="00B74333">
        <w:rPr>
          <w:rFonts w:cstheme="minorHAnsi"/>
        </w:rPr>
        <w:t>according</w:t>
      </w:r>
      <w:r w:rsidR="001A20B0" w:rsidRPr="00B74333">
        <w:rPr>
          <w:rFonts w:cstheme="minorHAnsi"/>
        </w:rPr>
        <w:t xml:space="preserve"> to</w:t>
      </w:r>
      <w:r w:rsidR="002854EA" w:rsidRPr="00B74333">
        <w:rPr>
          <w:rFonts w:cstheme="minorHAnsi"/>
        </w:rPr>
        <w:t xml:space="preserve"> </w:t>
      </w:r>
      <w:r w:rsidR="00542694" w:rsidRPr="00B74333">
        <w:rPr>
          <w:rFonts w:cstheme="minorHAnsi"/>
        </w:rPr>
        <w:t>Section</w:t>
      </w:r>
      <w:r w:rsidR="00E13D51" w:rsidRPr="00B74333">
        <w:rPr>
          <w:rFonts w:cstheme="minorHAnsi"/>
        </w:rPr>
        <w:t xml:space="preserve"> </w:t>
      </w:r>
      <w:r w:rsidR="00DA21A3" w:rsidRPr="00B74333">
        <w:rPr>
          <w:rFonts w:cstheme="minorHAnsi"/>
        </w:rPr>
        <w:t>5</w:t>
      </w:r>
      <w:r w:rsidR="00E13D51" w:rsidRPr="00B74333">
        <w:rPr>
          <w:rFonts w:cstheme="minorHAnsi"/>
        </w:rPr>
        <w:t xml:space="preserve">.7 of the </w:t>
      </w:r>
      <w:r w:rsidR="00DA21A3" w:rsidRPr="00B74333">
        <w:rPr>
          <w:rFonts w:cstheme="minorHAnsi"/>
        </w:rPr>
        <w:t>Guidelines</w:t>
      </w:r>
      <w:r w:rsidR="001342DD" w:rsidRPr="00B74333">
        <w:rPr>
          <w:rFonts w:cstheme="minorHAnsi"/>
        </w:rPr>
        <w:t xml:space="preserve"> </w:t>
      </w:r>
      <w:r w:rsidR="00880B32" w:rsidRPr="00B74333">
        <w:rPr>
          <w:rFonts w:cstheme="minorHAnsi"/>
        </w:rPr>
        <w:t xml:space="preserve">and </w:t>
      </w:r>
      <w:r w:rsidR="00C82B87" w:rsidRPr="00B74333">
        <w:rPr>
          <w:rFonts w:cstheme="minorHAnsi"/>
        </w:rPr>
        <w:t>Annex VI</w:t>
      </w:r>
      <w:r w:rsidR="00AF3EA2" w:rsidRPr="00B74333">
        <w:rPr>
          <w:rFonts w:cstheme="minorHAnsi"/>
        </w:rPr>
        <w:t>I</w:t>
      </w:r>
      <w:r w:rsidR="00657416" w:rsidRPr="00B74333">
        <w:rPr>
          <w:rFonts w:cstheme="minorHAnsi"/>
        </w:rPr>
        <w:t xml:space="preserve">. </w:t>
      </w:r>
      <w:r w:rsidR="00880B32" w:rsidRPr="00B74333">
        <w:rPr>
          <w:rFonts w:cstheme="minorHAnsi"/>
        </w:rPr>
        <w:t xml:space="preserve">The Form of </w:t>
      </w:r>
      <w:r w:rsidR="00DB47EC" w:rsidRPr="00B74333">
        <w:rPr>
          <w:rFonts w:cstheme="minorHAnsi"/>
        </w:rPr>
        <w:t xml:space="preserve">the GTA </w:t>
      </w:r>
      <w:r w:rsidR="00880B32" w:rsidRPr="00B74333">
        <w:rPr>
          <w:rFonts w:cstheme="minorHAnsi"/>
        </w:rPr>
        <w:t>Guarantee</w:t>
      </w:r>
      <w:r w:rsidR="00DB47EC" w:rsidRPr="00B74333">
        <w:rPr>
          <w:rFonts w:cstheme="minorHAnsi"/>
        </w:rPr>
        <w:t xml:space="preserve"> can be found as an </w:t>
      </w:r>
      <w:r w:rsidR="00E94C11" w:rsidRPr="00B74333">
        <w:rPr>
          <w:rFonts w:cstheme="minorHAnsi"/>
        </w:rPr>
        <w:t xml:space="preserve">appendix </w:t>
      </w:r>
      <w:r w:rsidR="00DB47EC" w:rsidRPr="00B74333">
        <w:rPr>
          <w:rFonts w:cstheme="minorHAnsi"/>
        </w:rPr>
        <w:t xml:space="preserve">to the GTA. </w:t>
      </w:r>
    </w:p>
    <w:p w14:paraId="757C8672" w14:textId="3A532722" w:rsidR="005D50FE" w:rsidRPr="00B74333" w:rsidRDefault="005D50FE">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t xml:space="preserve">Failure of a </w:t>
      </w:r>
      <w:r w:rsidR="00DE5424" w:rsidRPr="00B74333">
        <w:rPr>
          <w:rFonts w:cstheme="minorHAnsi"/>
        </w:rPr>
        <w:t xml:space="preserve">successful </w:t>
      </w:r>
      <w:r w:rsidRPr="00B74333">
        <w:rPr>
          <w:rFonts w:cstheme="minorHAnsi"/>
        </w:rPr>
        <w:t xml:space="preserve">Participant to provide a </w:t>
      </w:r>
      <w:r w:rsidR="00654D63" w:rsidRPr="00B74333">
        <w:rPr>
          <w:rFonts w:cstheme="minorHAnsi"/>
        </w:rPr>
        <w:t>GTA</w:t>
      </w:r>
      <w:r w:rsidRPr="00B74333">
        <w:rPr>
          <w:rFonts w:cstheme="minorHAnsi"/>
        </w:rPr>
        <w:t xml:space="preserve"> Guarantee and/or sign </w:t>
      </w:r>
      <w:r w:rsidR="00EE3282" w:rsidRPr="00B74333">
        <w:rPr>
          <w:rFonts w:cstheme="minorHAnsi"/>
        </w:rPr>
        <w:t xml:space="preserve">the </w:t>
      </w:r>
      <w:r w:rsidR="00654D63" w:rsidRPr="00B74333">
        <w:rPr>
          <w:rFonts w:cstheme="minorHAnsi"/>
        </w:rPr>
        <w:t>GTA</w:t>
      </w:r>
      <w:r w:rsidRPr="00B74333">
        <w:rPr>
          <w:rFonts w:cstheme="minorHAnsi"/>
        </w:rPr>
        <w:t>, following DESFA’s invitation</w:t>
      </w:r>
      <w:r w:rsidR="001B7F55" w:rsidRPr="00B74333">
        <w:rPr>
          <w:rFonts w:cstheme="minorHAnsi"/>
        </w:rPr>
        <w:t xml:space="preserve"> as per Article 7.3</w:t>
      </w:r>
      <w:r w:rsidRPr="00B74333">
        <w:rPr>
          <w:rFonts w:cstheme="minorHAnsi"/>
        </w:rPr>
        <w:t xml:space="preserve">, said Participant shall be excluded </w:t>
      </w:r>
      <w:r w:rsidR="004B00E3" w:rsidRPr="00B74333">
        <w:rPr>
          <w:rFonts w:cstheme="minorHAnsi"/>
        </w:rPr>
        <w:t xml:space="preserve">from the </w:t>
      </w:r>
      <w:r w:rsidR="00A37690" w:rsidRPr="00B74333">
        <w:rPr>
          <w:rFonts w:cstheme="minorHAnsi"/>
        </w:rPr>
        <w:t xml:space="preserve">Market Test </w:t>
      </w:r>
      <w:r w:rsidR="00AB424C" w:rsidRPr="00B74333">
        <w:rPr>
          <w:rFonts w:cstheme="minorHAnsi"/>
        </w:rPr>
        <w:t>P</w:t>
      </w:r>
      <w:r w:rsidR="004B00E3" w:rsidRPr="00B74333">
        <w:rPr>
          <w:rFonts w:cstheme="minorHAnsi"/>
        </w:rPr>
        <w:t xml:space="preserve">rocess and shall pay a penalty to DESFA equal to the value of the Binding Bid Guarantee described in Section </w:t>
      </w:r>
      <w:r w:rsidR="00BC117E" w:rsidRPr="00B74333">
        <w:rPr>
          <w:rFonts w:cstheme="minorHAnsi"/>
        </w:rPr>
        <w:t>5</w:t>
      </w:r>
      <w:r w:rsidR="004B00E3" w:rsidRPr="00B74333">
        <w:rPr>
          <w:rFonts w:cstheme="minorHAnsi"/>
        </w:rPr>
        <w:t xml:space="preserve">.1. of the </w:t>
      </w:r>
      <w:r w:rsidR="0003558A" w:rsidRPr="00B74333">
        <w:rPr>
          <w:rFonts w:cstheme="minorHAnsi"/>
        </w:rPr>
        <w:t>Guidelines</w:t>
      </w:r>
      <w:r w:rsidR="004B00E3" w:rsidRPr="00B74333">
        <w:rPr>
          <w:rFonts w:cstheme="minorHAnsi"/>
        </w:rPr>
        <w:t>. If not</w:t>
      </w:r>
      <w:r w:rsidR="00AE2F6B" w:rsidRPr="00B74333">
        <w:rPr>
          <w:rFonts w:cstheme="minorHAnsi"/>
        </w:rPr>
        <w:t>,</w:t>
      </w:r>
      <w:r w:rsidR="004B00E3" w:rsidRPr="00B74333">
        <w:rPr>
          <w:rFonts w:cstheme="minorHAnsi"/>
        </w:rPr>
        <w:t xml:space="preserve"> </w:t>
      </w:r>
      <w:r w:rsidR="00F86D72" w:rsidRPr="00B74333">
        <w:rPr>
          <w:rFonts w:cstheme="minorHAnsi"/>
        </w:rPr>
        <w:t>DESFA shall forfeit the Participant</w:t>
      </w:r>
      <w:r w:rsidRPr="00B74333">
        <w:rPr>
          <w:rFonts w:cstheme="minorHAnsi"/>
        </w:rPr>
        <w:t xml:space="preserve"> </w:t>
      </w:r>
      <w:r w:rsidR="00D02E50" w:rsidRPr="00B74333">
        <w:rPr>
          <w:rFonts w:cstheme="minorHAnsi"/>
        </w:rPr>
        <w:t>Binding Bid</w:t>
      </w:r>
      <w:r w:rsidRPr="00B74333">
        <w:rPr>
          <w:rFonts w:cstheme="minorHAnsi"/>
        </w:rPr>
        <w:t xml:space="preserve"> Guarantee. </w:t>
      </w:r>
    </w:p>
    <w:p w14:paraId="3EF6A9F8" w14:textId="346CFF71" w:rsidR="00D443B6" w:rsidRPr="00B74333" w:rsidRDefault="00D443B6">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t xml:space="preserve">The Participant undertakes to </w:t>
      </w:r>
      <w:proofErr w:type="gramStart"/>
      <w:r w:rsidRPr="00B74333">
        <w:rPr>
          <w:rFonts w:cstheme="minorHAnsi"/>
        </w:rPr>
        <w:t>keep at all times</w:t>
      </w:r>
      <w:proofErr w:type="gramEnd"/>
      <w:r w:rsidRPr="00B74333">
        <w:rPr>
          <w:rFonts w:cstheme="minorHAnsi"/>
        </w:rPr>
        <w:t xml:space="preserve"> the GTA Guarantee in full force and effect up to the Termination Date and for the amount provided for in the GTA.</w:t>
      </w:r>
    </w:p>
    <w:p w14:paraId="453ECCE8" w14:textId="77777777" w:rsidR="005D50FE" w:rsidRPr="00B74333" w:rsidRDefault="005D50FE">
      <w:pPr>
        <w:pStyle w:val="ListParagraph"/>
        <w:widowControl w:val="0"/>
        <w:numPr>
          <w:ilvl w:val="1"/>
          <w:numId w:val="28"/>
        </w:numPr>
        <w:suppressAutoHyphens/>
        <w:spacing w:before="120" w:after="120" w:line="360" w:lineRule="auto"/>
        <w:ind w:left="426" w:hanging="568"/>
        <w:jc w:val="both"/>
        <w:rPr>
          <w:rFonts w:cstheme="minorHAnsi"/>
        </w:rPr>
      </w:pPr>
      <w:r w:rsidRPr="00B74333">
        <w:rPr>
          <w:rFonts w:cstheme="minorHAnsi"/>
        </w:rPr>
        <w:t xml:space="preserve">The allocation of less capacity than the one requested in the Binding </w:t>
      </w:r>
      <w:r w:rsidR="006129EB" w:rsidRPr="00B74333">
        <w:rPr>
          <w:rFonts w:cstheme="minorHAnsi"/>
        </w:rPr>
        <w:t xml:space="preserve">Biding </w:t>
      </w:r>
      <w:r w:rsidRPr="00B74333">
        <w:rPr>
          <w:rFonts w:cstheme="minorHAnsi"/>
        </w:rPr>
        <w:t xml:space="preserve">Form, is not a valid reason for a Participant to withdraw from the </w:t>
      </w:r>
      <w:r w:rsidR="003819FA" w:rsidRPr="00B74333">
        <w:rPr>
          <w:rFonts w:cstheme="minorHAnsi"/>
        </w:rPr>
        <w:t xml:space="preserve">incremental capacity process </w:t>
      </w:r>
      <w:r w:rsidRPr="00B74333">
        <w:rPr>
          <w:rFonts w:cstheme="minorHAnsi"/>
        </w:rPr>
        <w:t xml:space="preserve">without forfeit of his </w:t>
      </w:r>
      <w:r w:rsidR="009B39B5" w:rsidRPr="00B74333">
        <w:rPr>
          <w:rFonts w:cstheme="minorHAnsi"/>
        </w:rPr>
        <w:t xml:space="preserve">Binding Bid </w:t>
      </w:r>
      <w:r w:rsidRPr="00B74333">
        <w:rPr>
          <w:rFonts w:cstheme="minorHAnsi"/>
        </w:rPr>
        <w:t>Guarantee</w:t>
      </w:r>
      <w:r w:rsidR="009B39B5" w:rsidRPr="00B74333">
        <w:rPr>
          <w:rFonts w:cstheme="minorHAnsi"/>
        </w:rPr>
        <w:t>,</w:t>
      </w:r>
      <w:r w:rsidRPr="00B74333">
        <w:rPr>
          <w:rFonts w:cstheme="minorHAnsi"/>
        </w:rPr>
        <w:t xml:space="preserve"> if such Participant has declared, in the Binding </w:t>
      </w:r>
      <w:r w:rsidR="006129EB" w:rsidRPr="00B74333">
        <w:rPr>
          <w:rFonts w:cstheme="minorHAnsi"/>
        </w:rPr>
        <w:t xml:space="preserve">Bid </w:t>
      </w:r>
      <w:r w:rsidRPr="00B74333">
        <w:rPr>
          <w:rFonts w:cstheme="minorHAnsi"/>
        </w:rPr>
        <w:t>Form, that he accepts the capacity</w:t>
      </w:r>
      <w:r w:rsidR="007C0C02" w:rsidRPr="00B74333">
        <w:rPr>
          <w:rFonts w:cstheme="minorHAnsi"/>
        </w:rPr>
        <w:t xml:space="preserve"> reduction</w:t>
      </w:r>
      <w:r w:rsidRPr="00B74333">
        <w:rPr>
          <w:rFonts w:cstheme="minorHAnsi"/>
        </w:rPr>
        <w:t xml:space="preserve">. </w:t>
      </w:r>
    </w:p>
    <w:p w14:paraId="1547C61D" w14:textId="77777777" w:rsidR="00057084" w:rsidRPr="00B74333" w:rsidRDefault="00057084" w:rsidP="00057084">
      <w:pPr>
        <w:spacing w:after="0"/>
        <w:jc w:val="center"/>
        <w:rPr>
          <w:rFonts w:cstheme="minorHAnsi"/>
          <w:b/>
          <w:sz w:val="24"/>
          <w:szCs w:val="24"/>
        </w:rPr>
      </w:pPr>
    </w:p>
    <w:p w14:paraId="7D87F43D" w14:textId="77777777" w:rsidR="00057084" w:rsidRPr="00B74333" w:rsidRDefault="004625AA" w:rsidP="00E76966">
      <w:pPr>
        <w:pStyle w:val="Heading1"/>
        <w:spacing w:after="160"/>
        <w:ind w:left="426"/>
      </w:pPr>
      <w:bookmarkStart w:id="51" w:name="_Toc58000409"/>
      <w:bookmarkStart w:id="52" w:name="_Toc71289530"/>
      <w:bookmarkStart w:id="53" w:name="_Toc165465561"/>
      <w:r w:rsidRPr="00B74333">
        <w:t xml:space="preserve">Article </w:t>
      </w:r>
      <w:r w:rsidR="005A727B" w:rsidRPr="00B74333">
        <w:t>8</w:t>
      </w:r>
      <w:r w:rsidRPr="00B74333">
        <w:t xml:space="preserve"> - </w:t>
      </w:r>
      <w:r w:rsidR="00057084" w:rsidRPr="00B74333">
        <w:t>Notices</w:t>
      </w:r>
      <w:bookmarkEnd w:id="51"/>
      <w:bookmarkEnd w:id="52"/>
      <w:bookmarkEnd w:id="53"/>
    </w:p>
    <w:p w14:paraId="63B1C0B8" w14:textId="3ECD76D1" w:rsidR="005A727B" w:rsidRPr="00B74333"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B74333">
        <w:rPr>
          <w:rFonts w:cstheme="minorHAnsi"/>
        </w:rPr>
        <w:t>Any notice to be given hereunder, shall be in writing and (unless expressly specified herein) may be given by delivering the same by hand or by sending a letter by pre-paid post, courier service</w:t>
      </w:r>
      <w:r w:rsidR="00D871F7" w:rsidRPr="00B74333">
        <w:rPr>
          <w:rFonts w:cstheme="minorHAnsi"/>
        </w:rPr>
        <w:t xml:space="preserve"> </w:t>
      </w:r>
      <w:r w:rsidRPr="00B74333">
        <w:rPr>
          <w:rFonts w:cstheme="minorHAnsi"/>
        </w:rPr>
        <w:t>or by email to the relevant address set out in</w:t>
      </w:r>
      <w:r w:rsidR="001B5E0B" w:rsidRPr="00B74333">
        <w:rPr>
          <w:rFonts w:cstheme="minorHAnsi"/>
        </w:rPr>
        <w:t xml:space="preserve"> this Binding </w:t>
      </w:r>
      <w:r w:rsidR="008D45FC" w:rsidRPr="00B74333">
        <w:rPr>
          <w:rFonts w:cstheme="minorHAnsi"/>
        </w:rPr>
        <w:t xml:space="preserve">Phase </w:t>
      </w:r>
      <w:r w:rsidRPr="00B74333">
        <w:rPr>
          <w:rFonts w:cstheme="minorHAnsi"/>
        </w:rPr>
        <w:t xml:space="preserve">Notice or such other address as the relevant </w:t>
      </w:r>
      <w:r w:rsidR="001B5E0B" w:rsidRPr="00B74333">
        <w:rPr>
          <w:rFonts w:cstheme="minorHAnsi"/>
        </w:rPr>
        <w:t>p</w:t>
      </w:r>
      <w:r w:rsidRPr="00B74333">
        <w:rPr>
          <w:rFonts w:cstheme="minorHAnsi"/>
        </w:rPr>
        <w:t xml:space="preserve">arty may notify to the other </w:t>
      </w:r>
      <w:r w:rsidR="001B5E0B" w:rsidRPr="00B74333">
        <w:rPr>
          <w:rFonts w:cstheme="minorHAnsi"/>
        </w:rPr>
        <w:t>p</w:t>
      </w:r>
      <w:r w:rsidRPr="00B74333">
        <w:rPr>
          <w:rFonts w:cstheme="minorHAnsi"/>
        </w:rPr>
        <w:t>arty from time to time.</w:t>
      </w:r>
    </w:p>
    <w:p w14:paraId="353B36B9" w14:textId="77777777" w:rsidR="00EA3C1C" w:rsidRPr="00B74333"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B74333">
        <w:rPr>
          <w:rFonts w:cstheme="minorHAnsi"/>
        </w:rPr>
        <w:t xml:space="preserve">Communications between the </w:t>
      </w:r>
      <w:r w:rsidR="001B5E0B" w:rsidRPr="00B74333">
        <w:rPr>
          <w:rFonts w:cstheme="minorHAnsi"/>
        </w:rPr>
        <w:t>p</w:t>
      </w:r>
      <w:r w:rsidRPr="00B74333">
        <w:rPr>
          <w:rFonts w:cstheme="minorHAnsi"/>
        </w:rPr>
        <w:t>arties shall be in the English language.</w:t>
      </w:r>
      <w:r w:rsidR="002D53F9" w:rsidRPr="00B74333">
        <w:rPr>
          <w:rFonts w:cstheme="minorHAnsi"/>
        </w:rPr>
        <w:t xml:space="preserve"> </w:t>
      </w:r>
      <w:r w:rsidR="005509A6" w:rsidRPr="00B74333">
        <w:rPr>
          <w:rFonts w:cstheme="minorHAnsi"/>
        </w:rPr>
        <w:t xml:space="preserve">Business Day means any day that is not a Saturday, </w:t>
      </w:r>
      <w:proofErr w:type="gramStart"/>
      <w:r w:rsidR="005509A6" w:rsidRPr="00B74333">
        <w:rPr>
          <w:rFonts w:cstheme="minorHAnsi"/>
        </w:rPr>
        <w:t>Sunday</w:t>
      </w:r>
      <w:proofErr w:type="gramEnd"/>
      <w:r w:rsidR="005509A6" w:rsidRPr="00B74333">
        <w:rPr>
          <w:rFonts w:cstheme="minorHAnsi"/>
        </w:rPr>
        <w:t xml:space="preserve"> or public holiday in Greece.</w:t>
      </w:r>
    </w:p>
    <w:p w14:paraId="3BAF35EB" w14:textId="77777777" w:rsidR="00EA3C1C" w:rsidRPr="00B74333"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B74333">
        <w:rPr>
          <w:rFonts w:cstheme="minorHAnsi"/>
        </w:rPr>
        <w:t xml:space="preserve">Save and except in the case of a notice requiring a response within a fixed </w:t>
      </w:r>
      <w:proofErr w:type="gramStart"/>
      <w:r w:rsidRPr="00B74333">
        <w:rPr>
          <w:rFonts w:cstheme="minorHAnsi"/>
        </w:rPr>
        <w:t>time period</w:t>
      </w:r>
      <w:proofErr w:type="gramEnd"/>
      <w:r w:rsidRPr="00B74333">
        <w:rPr>
          <w:rFonts w:cstheme="minorHAnsi"/>
        </w:rPr>
        <w:t xml:space="preserve">, any notice given as aforesaid shall be deemed to have been received: </w:t>
      </w:r>
    </w:p>
    <w:p w14:paraId="4BB442A0" w14:textId="77777777" w:rsidR="00057084" w:rsidRPr="00B74333" w:rsidRDefault="00057084">
      <w:pPr>
        <w:pStyle w:val="ListParagraph"/>
        <w:widowControl w:val="0"/>
        <w:numPr>
          <w:ilvl w:val="1"/>
          <w:numId w:val="30"/>
        </w:numPr>
        <w:suppressAutoHyphens/>
        <w:spacing w:before="120" w:after="120" w:line="360" w:lineRule="auto"/>
        <w:ind w:hanging="83"/>
        <w:jc w:val="both"/>
        <w:rPr>
          <w:rFonts w:cstheme="minorHAnsi"/>
        </w:rPr>
      </w:pPr>
      <w:r w:rsidRPr="00B74333">
        <w:rPr>
          <w:rFonts w:cstheme="minorHAnsi"/>
        </w:rPr>
        <w:lastRenderedPageBreak/>
        <w:t>in the case of delivery by hand, when delivered with an appropriate registration; or</w:t>
      </w:r>
    </w:p>
    <w:p w14:paraId="5D6CCE30" w14:textId="77777777" w:rsidR="00057084" w:rsidRPr="00B74333" w:rsidRDefault="00057084">
      <w:pPr>
        <w:pStyle w:val="ListParagraph"/>
        <w:widowControl w:val="0"/>
        <w:numPr>
          <w:ilvl w:val="1"/>
          <w:numId w:val="30"/>
        </w:numPr>
        <w:suppressAutoHyphens/>
        <w:spacing w:before="120" w:after="120" w:line="360" w:lineRule="auto"/>
        <w:ind w:hanging="83"/>
        <w:jc w:val="both"/>
        <w:rPr>
          <w:rFonts w:cstheme="minorHAnsi"/>
        </w:rPr>
      </w:pPr>
      <w:r w:rsidRPr="00B74333">
        <w:rPr>
          <w:rFonts w:cstheme="minorHAnsi"/>
        </w:rPr>
        <w:t xml:space="preserve">in the case of registered post, on the date of registered delivery to DESFA’s </w:t>
      </w:r>
      <w:proofErr w:type="gramStart"/>
      <w:r w:rsidRPr="00B74333">
        <w:rPr>
          <w:rFonts w:cstheme="minorHAnsi"/>
        </w:rPr>
        <w:t>premises;</w:t>
      </w:r>
      <w:proofErr w:type="gramEnd"/>
      <w:r w:rsidRPr="00B74333">
        <w:rPr>
          <w:rFonts w:cstheme="minorHAnsi"/>
        </w:rPr>
        <w:t xml:space="preserve">  </w:t>
      </w:r>
    </w:p>
    <w:p w14:paraId="322EEE04" w14:textId="3637691B" w:rsidR="00057084" w:rsidRPr="00B74333" w:rsidRDefault="00057084">
      <w:pPr>
        <w:pStyle w:val="ListParagraph"/>
        <w:widowControl w:val="0"/>
        <w:numPr>
          <w:ilvl w:val="1"/>
          <w:numId w:val="30"/>
        </w:numPr>
        <w:suppressAutoHyphens/>
        <w:spacing w:before="120" w:after="120" w:line="360" w:lineRule="auto"/>
        <w:ind w:hanging="83"/>
        <w:jc w:val="both"/>
        <w:rPr>
          <w:rFonts w:cstheme="minorHAnsi"/>
          <w:szCs w:val="24"/>
        </w:rPr>
      </w:pPr>
      <w:r w:rsidRPr="00B74333">
        <w:rPr>
          <w:rFonts w:cstheme="minorHAnsi"/>
        </w:rPr>
        <w:t xml:space="preserve">in the case of email to the valid email address of the other </w:t>
      </w:r>
      <w:r w:rsidR="005509A6" w:rsidRPr="00B74333">
        <w:rPr>
          <w:rFonts w:cstheme="minorHAnsi"/>
        </w:rPr>
        <w:t>p</w:t>
      </w:r>
      <w:r w:rsidRPr="00B74333">
        <w:rPr>
          <w:rFonts w:cstheme="minorHAnsi"/>
        </w:rPr>
        <w:t>arty, when provided via electronic transmission system, on the same Business Day provided that such email was transmitted during or before normal business hours on the Business Day in question.</w:t>
      </w:r>
      <w:r w:rsidRPr="00B74333">
        <w:rPr>
          <w:rFonts w:cstheme="minorHAnsi"/>
          <w:szCs w:val="24"/>
        </w:rPr>
        <w:t xml:space="preserve"> Otherwise</w:t>
      </w:r>
      <w:r w:rsidR="00161DF6" w:rsidRPr="00B74333">
        <w:rPr>
          <w:rFonts w:cstheme="minorHAnsi"/>
          <w:szCs w:val="24"/>
        </w:rPr>
        <w:t>,</w:t>
      </w:r>
      <w:r w:rsidRPr="00B74333">
        <w:rPr>
          <w:rFonts w:cstheme="minorHAnsi"/>
          <w:szCs w:val="24"/>
        </w:rPr>
        <w:t xml:space="preserve"> it shall be deemed to have been received the next Business Day following the date of transmission. </w:t>
      </w:r>
    </w:p>
    <w:p w14:paraId="4D6DDC7B" w14:textId="12E44DA1" w:rsidR="00057084" w:rsidRPr="00B74333"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B74333">
        <w:rPr>
          <w:rFonts w:cstheme="minorHAnsi"/>
        </w:rPr>
        <w:t xml:space="preserve">Any notice which requires a response from its recipient within a fixed </w:t>
      </w:r>
      <w:proofErr w:type="gramStart"/>
      <w:r w:rsidRPr="00B74333">
        <w:rPr>
          <w:rFonts w:cstheme="minorHAnsi"/>
        </w:rPr>
        <w:t>time period</w:t>
      </w:r>
      <w:proofErr w:type="gramEnd"/>
      <w:r w:rsidRPr="00B74333">
        <w:rPr>
          <w:rFonts w:cstheme="minorHAnsi"/>
        </w:rPr>
        <w:t xml:space="preserve"> shall be sent by hand or registered or recorded delivery post or e-mail and shall be deemed to have been received:</w:t>
      </w:r>
    </w:p>
    <w:p w14:paraId="0AB02A09" w14:textId="77777777" w:rsidR="00057084" w:rsidRPr="00B74333" w:rsidRDefault="00057084">
      <w:pPr>
        <w:pStyle w:val="ListParagraph"/>
        <w:widowControl w:val="0"/>
        <w:numPr>
          <w:ilvl w:val="1"/>
          <w:numId w:val="33"/>
        </w:numPr>
        <w:suppressAutoHyphens/>
        <w:spacing w:before="120" w:after="120" w:line="360" w:lineRule="auto"/>
        <w:ind w:hanging="83"/>
        <w:jc w:val="both"/>
        <w:rPr>
          <w:rFonts w:cstheme="minorHAnsi"/>
        </w:rPr>
      </w:pPr>
      <w:r w:rsidRPr="00B74333">
        <w:rPr>
          <w:rFonts w:cstheme="minorHAnsi"/>
        </w:rPr>
        <w:t>in the case of delivery by hand, when delivered; or</w:t>
      </w:r>
    </w:p>
    <w:p w14:paraId="23495C76" w14:textId="77777777" w:rsidR="00057084" w:rsidRPr="00B74333" w:rsidRDefault="00057084">
      <w:pPr>
        <w:pStyle w:val="ListParagraph"/>
        <w:widowControl w:val="0"/>
        <w:numPr>
          <w:ilvl w:val="1"/>
          <w:numId w:val="33"/>
        </w:numPr>
        <w:suppressAutoHyphens/>
        <w:spacing w:before="120" w:after="120" w:line="360" w:lineRule="auto"/>
        <w:ind w:hanging="83"/>
        <w:jc w:val="both"/>
        <w:rPr>
          <w:rFonts w:cstheme="minorHAnsi"/>
        </w:rPr>
      </w:pPr>
      <w:r w:rsidRPr="00B74333">
        <w:rPr>
          <w:rFonts w:cstheme="minorHAnsi"/>
        </w:rPr>
        <w:t>in the case of delivery by registered or recorded delivery post, at the time and date recorded at delivery; or</w:t>
      </w:r>
    </w:p>
    <w:p w14:paraId="506CCF64" w14:textId="77777777" w:rsidR="00057084" w:rsidRPr="00B74333" w:rsidRDefault="00057084">
      <w:pPr>
        <w:pStyle w:val="ListParagraph"/>
        <w:widowControl w:val="0"/>
        <w:numPr>
          <w:ilvl w:val="1"/>
          <w:numId w:val="33"/>
        </w:numPr>
        <w:suppressAutoHyphens/>
        <w:spacing w:before="120" w:after="120" w:line="360" w:lineRule="auto"/>
        <w:ind w:hanging="83"/>
        <w:jc w:val="both"/>
        <w:rPr>
          <w:rFonts w:cstheme="minorHAnsi"/>
        </w:rPr>
      </w:pPr>
      <w:r w:rsidRPr="00B74333">
        <w:rPr>
          <w:rFonts w:cstheme="minorHAnsi"/>
        </w:rPr>
        <w:t xml:space="preserve">in the case of email delivery, when delivered via electronic transmission system to the valid email address of the other </w:t>
      </w:r>
      <w:r w:rsidR="005509A6" w:rsidRPr="00B74333">
        <w:rPr>
          <w:rFonts w:cstheme="minorHAnsi"/>
        </w:rPr>
        <w:t>p</w:t>
      </w:r>
      <w:r w:rsidRPr="00B74333">
        <w:rPr>
          <w:rFonts w:cstheme="minorHAnsi"/>
        </w:rPr>
        <w:t>arty,</w:t>
      </w:r>
    </w:p>
    <w:p w14:paraId="795D15D4" w14:textId="77777777" w:rsidR="00057084" w:rsidRPr="00B74333" w:rsidRDefault="00057084" w:rsidP="00F15159">
      <w:pPr>
        <w:pStyle w:val="ListParagraph"/>
        <w:widowControl w:val="0"/>
        <w:suppressAutoHyphens/>
        <w:spacing w:before="120" w:after="120" w:line="360" w:lineRule="auto"/>
        <w:ind w:left="426"/>
        <w:jc w:val="both"/>
        <w:rPr>
          <w:rFonts w:cstheme="minorHAnsi"/>
        </w:rPr>
      </w:pPr>
      <w:r w:rsidRPr="00B74333">
        <w:rPr>
          <w:rFonts w:cstheme="minorHAnsi"/>
        </w:rPr>
        <w:t>and the calculation of any periods required for response shall run from such delivery date, provided that such delivery falls into the Business Day, failing which the first Business Day following the date of transmission shall apply.</w:t>
      </w:r>
    </w:p>
    <w:p w14:paraId="031B5271" w14:textId="77777777" w:rsidR="00057084" w:rsidRPr="00B74333" w:rsidRDefault="00057084" w:rsidP="00057084">
      <w:pPr>
        <w:pStyle w:val="BodyText"/>
        <w:widowControl w:val="0"/>
        <w:numPr>
          <w:ilvl w:val="1"/>
          <w:numId w:val="0"/>
        </w:numPr>
        <w:tabs>
          <w:tab w:val="num" w:pos="284"/>
        </w:tabs>
        <w:spacing w:after="0"/>
        <w:ind w:left="567" w:hanging="567"/>
        <w:jc w:val="center"/>
        <w:rPr>
          <w:rFonts w:asciiTheme="minorHAnsi" w:hAnsiTheme="minorHAnsi" w:cstheme="minorHAnsi"/>
          <w:szCs w:val="24"/>
          <w:lang w:val="en-US"/>
        </w:rPr>
      </w:pPr>
    </w:p>
    <w:p w14:paraId="4A36663B" w14:textId="77777777" w:rsidR="00057084" w:rsidRPr="00B74333" w:rsidRDefault="004625AA" w:rsidP="00E23EE0">
      <w:pPr>
        <w:pStyle w:val="Heading1"/>
        <w:spacing w:after="160"/>
        <w:ind w:left="426"/>
      </w:pPr>
      <w:bookmarkStart w:id="54" w:name="_Toc58000411"/>
      <w:bookmarkStart w:id="55" w:name="_Toc71289531"/>
      <w:bookmarkStart w:id="56" w:name="_Toc165465562"/>
      <w:r w:rsidRPr="00B74333">
        <w:t xml:space="preserve">Article </w:t>
      </w:r>
      <w:r w:rsidR="00E4105A" w:rsidRPr="00B74333">
        <w:t>9</w:t>
      </w:r>
      <w:r w:rsidRPr="00B74333">
        <w:t xml:space="preserve"> - </w:t>
      </w:r>
      <w:r w:rsidR="00057084" w:rsidRPr="00B74333">
        <w:t>Force Majeure</w:t>
      </w:r>
      <w:bookmarkEnd w:id="54"/>
      <w:bookmarkEnd w:id="55"/>
      <w:bookmarkEnd w:id="56"/>
    </w:p>
    <w:p w14:paraId="41AAA46B" w14:textId="7CA357D2" w:rsidR="007B5CA3" w:rsidRPr="00B74333" w:rsidRDefault="005A6434" w:rsidP="003B0078">
      <w:pPr>
        <w:pStyle w:val="ListParagraph"/>
        <w:widowControl w:val="0"/>
        <w:suppressAutoHyphens/>
        <w:spacing w:before="120" w:after="120" w:line="360" w:lineRule="auto"/>
        <w:ind w:left="426"/>
        <w:jc w:val="both"/>
        <w:rPr>
          <w:rFonts w:cstheme="minorHAnsi"/>
        </w:rPr>
      </w:pPr>
      <w:r w:rsidRPr="00B74333">
        <w:rPr>
          <w:rFonts w:cstheme="minorHAnsi"/>
        </w:rPr>
        <w:t xml:space="preserve">“Force Majeure” </w:t>
      </w:r>
      <w:r w:rsidR="00D46D4E" w:rsidRPr="00B74333">
        <w:rPr>
          <w:rFonts w:cstheme="minorHAnsi"/>
        </w:rPr>
        <w:t>shall have the meaning assigned to it in</w:t>
      </w:r>
      <w:r w:rsidRPr="00B74333">
        <w:rPr>
          <w:rFonts w:cstheme="minorHAnsi"/>
        </w:rPr>
        <w:t xml:space="preserve"> art</w:t>
      </w:r>
      <w:r w:rsidR="00D46D4E" w:rsidRPr="00B74333">
        <w:rPr>
          <w:rFonts w:cstheme="minorHAnsi"/>
        </w:rPr>
        <w:t>icle</w:t>
      </w:r>
      <w:r w:rsidRPr="00B74333">
        <w:rPr>
          <w:rFonts w:cstheme="minorHAnsi"/>
        </w:rPr>
        <w:t xml:space="preserve"> 104 of </w:t>
      </w:r>
      <w:r w:rsidR="00580B48" w:rsidRPr="00B74333">
        <w:rPr>
          <w:rFonts w:cstheme="minorHAnsi"/>
        </w:rPr>
        <w:t>the</w:t>
      </w:r>
      <w:r w:rsidR="00D46D4E" w:rsidRPr="00B74333">
        <w:rPr>
          <w:rFonts w:cstheme="minorHAnsi"/>
        </w:rPr>
        <w:t xml:space="preserve"> </w:t>
      </w:r>
      <w:r w:rsidR="00EF387E" w:rsidRPr="00B74333">
        <w:rPr>
          <w:rFonts w:cstheme="minorHAnsi"/>
        </w:rPr>
        <w:t xml:space="preserve">NNGS </w:t>
      </w:r>
      <w:r w:rsidRPr="00B74333">
        <w:rPr>
          <w:rFonts w:cstheme="minorHAnsi"/>
        </w:rPr>
        <w:t>Network Code</w:t>
      </w:r>
      <w:r w:rsidR="003B0078" w:rsidRPr="00B74333">
        <w:rPr>
          <w:rFonts w:cstheme="minorHAnsi"/>
        </w:rPr>
        <w:t>.</w:t>
      </w:r>
      <w:r w:rsidRPr="00B74333">
        <w:rPr>
          <w:rFonts w:cstheme="minorHAnsi"/>
        </w:rPr>
        <w:t xml:space="preserve"> </w:t>
      </w:r>
    </w:p>
    <w:p w14:paraId="4729CC18" w14:textId="77777777" w:rsidR="00057084" w:rsidRPr="00B74333" w:rsidRDefault="00057084" w:rsidP="003C3B82">
      <w:pPr>
        <w:pStyle w:val="ListParagraph"/>
        <w:widowControl w:val="0"/>
        <w:suppressAutoHyphens/>
        <w:spacing w:before="120" w:after="120" w:line="360" w:lineRule="auto"/>
        <w:ind w:left="426"/>
        <w:jc w:val="both"/>
        <w:rPr>
          <w:rFonts w:cstheme="minorHAnsi"/>
        </w:rPr>
      </w:pPr>
      <w:bookmarkStart w:id="57" w:name="_Hlk57659660"/>
    </w:p>
    <w:p w14:paraId="29878ABD" w14:textId="40146D2E" w:rsidR="00057084" w:rsidRPr="00B74333" w:rsidRDefault="004625AA" w:rsidP="003C486C">
      <w:pPr>
        <w:pStyle w:val="Heading1"/>
        <w:spacing w:after="160"/>
        <w:ind w:left="426"/>
        <w:rPr>
          <w:rFonts w:eastAsia="Verdana,Bold"/>
        </w:rPr>
      </w:pPr>
      <w:bookmarkStart w:id="58" w:name="_Toc58000414"/>
      <w:bookmarkStart w:id="59" w:name="_Toc71289534"/>
      <w:bookmarkStart w:id="60" w:name="_Toc165465563"/>
      <w:bookmarkEnd w:id="57"/>
      <w:r w:rsidRPr="00B74333">
        <w:t xml:space="preserve">Article </w:t>
      </w:r>
      <w:r w:rsidR="002C38C0" w:rsidRPr="00B74333">
        <w:t>1</w:t>
      </w:r>
      <w:r w:rsidR="00E83162" w:rsidRPr="00B74333">
        <w:t>0</w:t>
      </w:r>
      <w:r w:rsidR="002C38C0" w:rsidRPr="00B74333">
        <w:t xml:space="preserve"> </w:t>
      </w:r>
      <w:r w:rsidRPr="00B74333">
        <w:t xml:space="preserve">- </w:t>
      </w:r>
      <w:r w:rsidR="00057084" w:rsidRPr="00B74333">
        <w:rPr>
          <w:rFonts w:eastAsia="Verdana,Bold"/>
        </w:rPr>
        <w:t>Anti-Bribery</w:t>
      </w:r>
      <w:bookmarkEnd w:id="58"/>
      <w:bookmarkEnd w:id="59"/>
      <w:bookmarkEnd w:id="60"/>
      <w:r w:rsidR="00057084" w:rsidRPr="00B74333">
        <w:rPr>
          <w:rFonts w:eastAsia="Verdana,Bold"/>
        </w:rPr>
        <w:t xml:space="preserve"> </w:t>
      </w:r>
    </w:p>
    <w:p w14:paraId="4FE23C37" w14:textId="04E33299" w:rsidR="00057084" w:rsidRPr="00B74333" w:rsidRDefault="00057084" w:rsidP="004F1639">
      <w:pPr>
        <w:pStyle w:val="ListParagraph"/>
        <w:widowControl w:val="0"/>
        <w:suppressAutoHyphens/>
        <w:spacing w:before="120" w:after="120" w:line="360" w:lineRule="auto"/>
        <w:ind w:left="426"/>
        <w:jc w:val="both"/>
        <w:rPr>
          <w:rFonts w:cstheme="minorHAnsi"/>
        </w:rPr>
      </w:pPr>
      <w:bookmarkStart w:id="61" w:name="_Toc48322661"/>
      <w:r w:rsidRPr="00B74333">
        <w:rPr>
          <w:rFonts w:cstheme="minorHAnsi"/>
        </w:rPr>
        <w:t>Participants acknowledge DESFA’s Code of Ethics (the “Code”), as published on DESFA’s site</w:t>
      </w:r>
      <w:r w:rsidR="006B0869" w:rsidRPr="00B74333">
        <w:rPr>
          <w:rStyle w:val="FootnoteReference"/>
          <w:rFonts w:cstheme="minorHAnsi"/>
        </w:rPr>
        <w:footnoteReference w:id="15"/>
      </w:r>
      <w:r w:rsidRPr="00B74333">
        <w:rPr>
          <w:rFonts w:cstheme="minorHAnsi"/>
        </w:rPr>
        <w:t>, which shall be fully applicable to this</w:t>
      </w:r>
      <w:r w:rsidRPr="00B74333" w:rsidDel="00293D9A">
        <w:rPr>
          <w:rFonts w:cstheme="minorHAnsi"/>
        </w:rPr>
        <w:t xml:space="preserve"> </w:t>
      </w:r>
      <w:r w:rsidR="00EC774E" w:rsidRPr="00B74333">
        <w:rPr>
          <w:rFonts w:cstheme="minorHAnsi"/>
        </w:rPr>
        <w:t>Market Test P</w:t>
      </w:r>
      <w:r w:rsidR="00832B6A" w:rsidRPr="00B74333">
        <w:rPr>
          <w:rFonts w:cstheme="minorHAnsi"/>
        </w:rPr>
        <w:t>rocess</w:t>
      </w:r>
      <w:r w:rsidRPr="00B74333">
        <w:rPr>
          <w:rFonts w:cstheme="minorHAnsi"/>
        </w:rPr>
        <w:t xml:space="preserve">, and the Participants shall comply with the relevant provisions of the Code, including conflicts of interest. Participants further acknowledge that DESFA’s Anticorruption Policy, as published on DESFA’s site, shall be applicable to them and that they shall comply with its </w:t>
      </w:r>
      <w:r w:rsidR="00FC0D3C" w:rsidRPr="00B74333">
        <w:rPr>
          <w:rFonts w:cstheme="minorHAnsi"/>
        </w:rPr>
        <w:t>principles</w:t>
      </w:r>
      <w:r w:rsidRPr="00B74333">
        <w:rPr>
          <w:rFonts w:cstheme="minorHAnsi"/>
        </w:rPr>
        <w:t xml:space="preserve">. Participants shall not violate or knowingly permit anyone to violate the Code’s prohibition on bribery or any applicable anti-corruption laws, regulations, </w:t>
      </w:r>
      <w:proofErr w:type="gramStart"/>
      <w:r w:rsidRPr="00B74333">
        <w:rPr>
          <w:rFonts w:cstheme="minorHAnsi"/>
        </w:rPr>
        <w:t>policies</w:t>
      </w:r>
      <w:proofErr w:type="gramEnd"/>
      <w:r w:rsidRPr="00B74333">
        <w:rPr>
          <w:rFonts w:cstheme="minorHAnsi"/>
        </w:rPr>
        <w:t xml:space="preserve"> and procedures in participating in this </w:t>
      </w:r>
      <w:r w:rsidR="00BE278D" w:rsidRPr="00B74333">
        <w:rPr>
          <w:rFonts w:cstheme="minorHAnsi"/>
        </w:rPr>
        <w:t>i</w:t>
      </w:r>
      <w:r w:rsidR="00832B6A" w:rsidRPr="00B74333">
        <w:rPr>
          <w:rFonts w:cstheme="minorHAnsi"/>
        </w:rPr>
        <w:t xml:space="preserve">ncremental </w:t>
      </w:r>
      <w:r w:rsidR="00BE278D" w:rsidRPr="00B74333">
        <w:rPr>
          <w:rFonts w:cstheme="minorHAnsi"/>
        </w:rPr>
        <w:t>c</w:t>
      </w:r>
      <w:r w:rsidR="00832B6A" w:rsidRPr="00B74333">
        <w:rPr>
          <w:rFonts w:cstheme="minorHAnsi"/>
        </w:rPr>
        <w:t xml:space="preserve">apacity </w:t>
      </w:r>
      <w:r w:rsidR="00BE278D" w:rsidRPr="00B74333">
        <w:rPr>
          <w:rFonts w:cstheme="minorHAnsi"/>
        </w:rPr>
        <w:t>p</w:t>
      </w:r>
      <w:r w:rsidR="00832B6A" w:rsidRPr="00B74333">
        <w:rPr>
          <w:rFonts w:cstheme="minorHAnsi"/>
        </w:rPr>
        <w:t>rocess</w:t>
      </w:r>
      <w:r w:rsidRPr="00B74333">
        <w:rPr>
          <w:rFonts w:cstheme="minorHAnsi"/>
        </w:rPr>
        <w:t>. If any Participant breaches this Article, DESFA may immediately reject its participation.</w:t>
      </w:r>
      <w:bookmarkEnd w:id="61"/>
    </w:p>
    <w:p w14:paraId="352CF5BA" w14:textId="77777777" w:rsidR="00057084" w:rsidRPr="00B74333" w:rsidRDefault="00057084" w:rsidP="00057084">
      <w:pPr>
        <w:autoSpaceDE w:val="0"/>
        <w:autoSpaceDN w:val="0"/>
        <w:adjustRightInd w:val="0"/>
        <w:spacing w:after="0" w:line="240" w:lineRule="auto"/>
        <w:jc w:val="both"/>
        <w:rPr>
          <w:rFonts w:cstheme="minorHAnsi"/>
          <w:sz w:val="24"/>
          <w:szCs w:val="24"/>
        </w:rPr>
      </w:pPr>
    </w:p>
    <w:p w14:paraId="18DBC20E" w14:textId="477D5EC6" w:rsidR="00057084" w:rsidRPr="00B74333" w:rsidRDefault="004625AA" w:rsidP="003C486C">
      <w:pPr>
        <w:pStyle w:val="Heading1"/>
        <w:spacing w:after="160"/>
        <w:ind w:left="426"/>
      </w:pPr>
      <w:bookmarkStart w:id="62" w:name="_Toc58000415"/>
      <w:bookmarkStart w:id="63" w:name="_Toc71289535"/>
      <w:bookmarkStart w:id="64" w:name="_Toc165465564"/>
      <w:r w:rsidRPr="00B74333">
        <w:t xml:space="preserve">Article </w:t>
      </w:r>
      <w:r w:rsidR="00314341" w:rsidRPr="00B74333">
        <w:t>1</w:t>
      </w:r>
      <w:r w:rsidR="00A93C48" w:rsidRPr="00B74333">
        <w:t>1</w:t>
      </w:r>
      <w:r w:rsidR="00314341" w:rsidRPr="00B74333">
        <w:t xml:space="preserve"> </w:t>
      </w:r>
      <w:r w:rsidRPr="00B74333">
        <w:t xml:space="preserve">- </w:t>
      </w:r>
      <w:r w:rsidR="00057084" w:rsidRPr="00B74333">
        <w:t>Personal Data</w:t>
      </w:r>
      <w:bookmarkEnd w:id="62"/>
      <w:bookmarkEnd w:id="63"/>
      <w:bookmarkEnd w:id="64"/>
    </w:p>
    <w:p w14:paraId="6FEDB3DD" w14:textId="66221544" w:rsidR="006B2D02" w:rsidRPr="00B74333" w:rsidRDefault="00057084" w:rsidP="004F1639">
      <w:pPr>
        <w:pStyle w:val="ListParagraph"/>
        <w:widowControl w:val="0"/>
        <w:suppressAutoHyphens/>
        <w:spacing w:before="120" w:after="120" w:line="360" w:lineRule="auto"/>
        <w:ind w:left="426"/>
        <w:jc w:val="both"/>
        <w:rPr>
          <w:rFonts w:cstheme="minorHAnsi"/>
        </w:rPr>
      </w:pPr>
      <w:r w:rsidRPr="00B74333">
        <w:rPr>
          <w:rFonts w:cstheme="minorHAnsi"/>
        </w:rPr>
        <w:t>DESFA shall process personal data</w:t>
      </w:r>
      <w:r w:rsidR="00FC0D3C" w:rsidRPr="00B74333">
        <w:rPr>
          <w:rFonts w:cstheme="minorHAnsi"/>
        </w:rPr>
        <w:t xml:space="preserve"> received by it</w:t>
      </w:r>
      <w:r w:rsidRPr="00B74333">
        <w:rPr>
          <w:rFonts w:cstheme="minorHAnsi"/>
        </w:rPr>
        <w:t xml:space="preserve"> during the </w:t>
      </w:r>
      <w:r w:rsidR="00EC774E" w:rsidRPr="00B74333">
        <w:rPr>
          <w:rFonts w:cstheme="minorHAnsi"/>
        </w:rPr>
        <w:t>Market Test</w:t>
      </w:r>
      <w:r w:rsidR="00DD691D" w:rsidRPr="00B74333">
        <w:rPr>
          <w:rFonts w:cstheme="minorHAnsi"/>
        </w:rPr>
        <w:t xml:space="preserve"> Process </w:t>
      </w:r>
      <w:r w:rsidRPr="00B74333">
        <w:rPr>
          <w:rFonts w:cstheme="minorHAnsi"/>
        </w:rPr>
        <w:t>and for its purpose (hereinafter referred to as "Personal Data")</w:t>
      </w:r>
      <w:r w:rsidR="00694A30" w:rsidRPr="00B74333">
        <w:rPr>
          <w:rFonts w:cstheme="minorHAnsi"/>
        </w:rPr>
        <w:t xml:space="preserve"> in its capacity as Data Controller,</w:t>
      </w:r>
      <w:r w:rsidRPr="00B74333">
        <w:rPr>
          <w:rFonts w:cstheme="minorHAnsi"/>
        </w:rPr>
        <w:t xml:space="preserve"> in accordance with the provisions of applicable legislation and today those of Regulation 2016/679/EU (hereinafter "</w:t>
      </w:r>
      <w:r w:rsidR="006B2D02" w:rsidRPr="00B74333">
        <w:rPr>
          <w:rFonts w:cstheme="minorHAnsi"/>
        </w:rPr>
        <w:t>GDPR</w:t>
      </w:r>
      <w:r w:rsidRPr="00B74333">
        <w:rPr>
          <w:rFonts w:cstheme="minorHAnsi"/>
        </w:rPr>
        <w:t>").</w:t>
      </w:r>
    </w:p>
    <w:p w14:paraId="7C5FA6FC" w14:textId="4496B6EE" w:rsidR="006B2D02" w:rsidRPr="00B74333" w:rsidRDefault="006B2D02" w:rsidP="004F1639">
      <w:pPr>
        <w:pStyle w:val="ListParagraph"/>
        <w:widowControl w:val="0"/>
        <w:suppressAutoHyphens/>
        <w:spacing w:before="120" w:after="120" w:line="360" w:lineRule="auto"/>
        <w:ind w:left="426"/>
        <w:jc w:val="both"/>
        <w:rPr>
          <w:rFonts w:cstheme="minorHAnsi"/>
        </w:rPr>
      </w:pPr>
      <w:r w:rsidRPr="00B74333">
        <w:rPr>
          <w:rFonts w:cstheme="minorHAnsi"/>
        </w:rPr>
        <w:t xml:space="preserve">Participants declare that they have lawfully collected from data subjects </w:t>
      </w:r>
      <w:r w:rsidR="00F11878" w:rsidRPr="00B74333">
        <w:rPr>
          <w:rFonts w:cstheme="minorHAnsi"/>
        </w:rPr>
        <w:t xml:space="preserve">and lawfully transfer such Personal Data to DESFA in relation to the </w:t>
      </w:r>
      <w:r w:rsidR="00396F0F" w:rsidRPr="00B74333">
        <w:rPr>
          <w:rFonts w:cstheme="minorHAnsi"/>
        </w:rPr>
        <w:t>Market Test</w:t>
      </w:r>
      <w:r w:rsidR="00F11878" w:rsidRPr="00B74333">
        <w:rPr>
          <w:rFonts w:cstheme="minorHAnsi"/>
        </w:rPr>
        <w:t xml:space="preserve"> Process.</w:t>
      </w:r>
    </w:p>
    <w:p w14:paraId="320ABFDC" w14:textId="00A7CB8D" w:rsidR="002B05D2" w:rsidRPr="00B74333" w:rsidRDefault="002B05D2" w:rsidP="004F1639">
      <w:pPr>
        <w:pStyle w:val="ListParagraph"/>
        <w:widowControl w:val="0"/>
        <w:suppressAutoHyphens/>
        <w:spacing w:before="120" w:after="120" w:line="360" w:lineRule="auto"/>
        <w:ind w:left="426"/>
        <w:jc w:val="both"/>
        <w:rPr>
          <w:rFonts w:cstheme="minorHAnsi"/>
        </w:rPr>
      </w:pPr>
      <w:r w:rsidRPr="00B74333">
        <w:rPr>
          <w:rFonts w:cstheme="minorHAnsi"/>
        </w:rPr>
        <w:t xml:space="preserve">Personal Data will be processed according to the principles and rules of the </w:t>
      </w:r>
      <w:proofErr w:type="gramStart"/>
      <w:r w:rsidRPr="00B74333">
        <w:rPr>
          <w:rFonts w:cstheme="minorHAnsi"/>
        </w:rPr>
        <w:t>GDPR</w:t>
      </w:r>
      <w:proofErr w:type="gramEnd"/>
      <w:r w:rsidRPr="00B74333">
        <w:rPr>
          <w:rFonts w:cstheme="minorHAnsi"/>
        </w:rPr>
        <w:t xml:space="preserve"> and th</w:t>
      </w:r>
      <w:r w:rsidR="00E8470E" w:rsidRPr="00B74333">
        <w:rPr>
          <w:rFonts w:cstheme="minorHAnsi"/>
        </w:rPr>
        <w:t xml:space="preserve">e regulations related thereto. Personal Data will be processed by the personnel </w:t>
      </w:r>
      <w:proofErr w:type="gramStart"/>
      <w:r w:rsidR="00E8470E" w:rsidRPr="00B74333">
        <w:rPr>
          <w:rFonts w:cstheme="minorHAnsi"/>
        </w:rPr>
        <w:t>absolutely necessary</w:t>
      </w:r>
      <w:proofErr w:type="gramEnd"/>
      <w:r w:rsidR="00E8470E" w:rsidRPr="00B74333">
        <w:rPr>
          <w:rFonts w:cstheme="minorHAnsi"/>
        </w:rPr>
        <w:t xml:space="preserve"> for the management of the Process</w:t>
      </w:r>
      <w:r w:rsidR="004C3FB8" w:rsidRPr="00B74333">
        <w:rPr>
          <w:rFonts w:cstheme="minorHAnsi"/>
        </w:rPr>
        <w:t>.</w:t>
      </w:r>
    </w:p>
    <w:p w14:paraId="356263D7" w14:textId="56AFD1BB" w:rsidR="00E411EA" w:rsidRPr="00B74333" w:rsidRDefault="00057084" w:rsidP="004F1639">
      <w:pPr>
        <w:pStyle w:val="ListParagraph"/>
        <w:widowControl w:val="0"/>
        <w:suppressAutoHyphens/>
        <w:spacing w:before="120" w:after="120" w:line="360" w:lineRule="auto"/>
        <w:ind w:left="426"/>
        <w:jc w:val="both"/>
        <w:rPr>
          <w:rFonts w:cstheme="minorHAnsi"/>
        </w:rPr>
      </w:pPr>
      <w:r w:rsidRPr="00B74333">
        <w:rPr>
          <w:rFonts w:cstheme="minorHAnsi"/>
        </w:rPr>
        <w:t xml:space="preserve">Personal </w:t>
      </w:r>
      <w:r w:rsidR="004C3FB8" w:rsidRPr="00B74333">
        <w:rPr>
          <w:rFonts w:cstheme="minorHAnsi"/>
        </w:rPr>
        <w:t>D</w:t>
      </w:r>
      <w:r w:rsidRPr="00B74333">
        <w:rPr>
          <w:rFonts w:cstheme="minorHAnsi"/>
        </w:rPr>
        <w:t xml:space="preserve">ata shall not be transmitted, </w:t>
      </w:r>
      <w:proofErr w:type="gramStart"/>
      <w:r w:rsidRPr="00B74333">
        <w:rPr>
          <w:rFonts w:cstheme="minorHAnsi"/>
        </w:rPr>
        <w:t>disclosed</w:t>
      </w:r>
      <w:proofErr w:type="gramEnd"/>
      <w:r w:rsidRPr="00B74333">
        <w:rPr>
          <w:rFonts w:cstheme="minorHAnsi"/>
        </w:rPr>
        <w:t xml:space="preserve"> or communicated to third parties, nor shall they be subject to any other processing</w:t>
      </w:r>
      <w:r w:rsidR="00CA1058" w:rsidRPr="00B74333">
        <w:rPr>
          <w:rFonts w:cstheme="minorHAnsi"/>
        </w:rPr>
        <w:t>,</w:t>
      </w:r>
      <w:r w:rsidRPr="00B74333">
        <w:rPr>
          <w:rFonts w:cstheme="minorHAnsi"/>
        </w:rPr>
        <w:t xml:space="preserve"> for purposes other than conduct of the </w:t>
      </w:r>
      <w:r w:rsidR="000B6FC1" w:rsidRPr="00B74333">
        <w:rPr>
          <w:rFonts w:cstheme="minorHAnsi"/>
        </w:rPr>
        <w:t>Market Test</w:t>
      </w:r>
      <w:r w:rsidR="00DD691D" w:rsidRPr="00B74333">
        <w:rPr>
          <w:rFonts w:cstheme="minorHAnsi"/>
        </w:rPr>
        <w:t xml:space="preserve"> Process</w:t>
      </w:r>
      <w:r w:rsidRPr="00B74333">
        <w:rPr>
          <w:rFonts w:cstheme="minorHAnsi"/>
        </w:rPr>
        <w:t>, except in cases of legal obligation or explicit consent of the data subject.</w:t>
      </w:r>
      <w:r w:rsidR="00CA1058" w:rsidRPr="00B74333">
        <w:rPr>
          <w:rFonts w:cstheme="minorHAnsi"/>
        </w:rPr>
        <w:t xml:space="preserve"> DESFA shall retain and process the personal data only for the period of the time required to pursue the purposes </w:t>
      </w:r>
      <w:r w:rsidR="00296F0C" w:rsidRPr="00B74333">
        <w:rPr>
          <w:rFonts w:cstheme="minorHAnsi"/>
        </w:rPr>
        <w:t xml:space="preserve">described above and at most for three (3) years after the end of the year that the Process takes place, unless there </w:t>
      </w:r>
      <w:proofErr w:type="gramStart"/>
      <w:r w:rsidR="00296F0C" w:rsidRPr="00B74333">
        <w:rPr>
          <w:rFonts w:cstheme="minorHAnsi"/>
        </w:rPr>
        <w:t>is</w:t>
      </w:r>
      <w:proofErr w:type="gramEnd"/>
      <w:r w:rsidR="00296F0C" w:rsidRPr="00B74333">
        <w:rPr>
          <w:rFonts w:cstheme="minorHAnsi"/>
        </w:rPr>
        <w:t xml:space="preserve"> other retention </w:t>
      </w:r>
      <w:r w:rsidR="00E411EA" w:rsidRPr="00B74333">
        <w:rPr>
          <w:rFonts w:cstheme="minorHAnsi"/>
        </w:rPr>
        <w:t>grounds at that point.</w:t>
      </w:r>
    </w:p>
    <w:p w14:paraId="17807CA8" w14:textId="3E7E5B07" w:rsidR="00A078E9" w:rsidRPr="00B74333" w:rsidRDefault="00E411EA" w:rsidP="004F1639">
      <w:pPr>
        <w:pStyle w:val="ListParagraph"/>
        <w:widowControl w:val="0"/>
        <w:suppressAutoHyphens/>
        <w:spacing w:before="120" w:after="120" w:line="360" w:lineRule="auto"/>
        <w:ind w:left="426"/>
        <w:jc w:val="both"/>
        <w:rPr>
          <w:rFonts w:cstheme="minorHAnsi"/>
        </w:rPr>
      </w:pPr>
      <w:r w:rsidRPr="00B74333">
        <w:rPr>
          <w:rFonts w:cstheme="minorHAnsi"/>
        </w:rPr>
        <w:t xml:space="preserve">Participants and data subjects related to them may exercise their rights under Articles 15 </w:t>
      </w:r>
      <w:r w:rsidR="00CF3F74" w:rsidRPr="00B74333">
        <w:rPr>
          <w:rFonts w:cstheme="minorHAnsi"/>
        </w:rPr>
        <w:t xml:space="preserve">and following of the GDPR at any time. For more information regarding the processing of personal data as well as to exercise such rights, data subjects </w:t>
      </w:r>
      <w:r w:rsidR="00A078E9" w:rsidRPr="00B74333">
        <w:rPr>
          <w:rFonts w:cstheme="minorHAnsi"/>
        </w:rPr>
        <w:t>may contact our Data Protection Officer (DPO) via the following email</w:t>
      </w:r>
      <w:r w:rsidR="00C41B2F" w:rsidRPr="00B74333">
        <w:rPr>
          <w:rFonts w:cstheme="minorHAnsi"/>
        </w:rPr>
        <w:t>:</w:t>
      </w:r>
      <w:r w:rsidR="00A078E9" w:rsidRPr="00B74333">
        <w:rPr>
          <w:rFonts w:cstheme="minorHAnsi"/>
        </w:rPr>
        <w:t xml:space="preserve"> dpo@desfa.gr</w:t>
      </w:r>
    </w:p>
    <w:p w14:paraId="41B052A0" w14:textId="555BE646" w:rsidR="00057084" w:rsidRPr="00B74333" w:rsidRDefault="00CD0F3B" w:rsidP="00AF7519">
      <w:pPr>
        <w:widowControl w:val="0"/>
        <w:suppressAutoHyphens/>
        <w:spacing w:before="120" w:after="120" w:line="360" w:lineRule="auto"/>
        <w:ind w:left="426"/>
        <w:jc w:val="both"/>
        <w:rPr>
          <w:rFonts w:cstheme="minorHAnsi"/>
        </w:rPr>
      </w:pPr>
      <w:r w:rsidRPr="00B74333">
        <w:rPr>
          <w:rFonts w:cstheme="minorHAnsi"/>
        </w:rPr>
        <w:t>Participants and data subjects may consult DESFA’s</w:t>
      </w:r>
      <w:r w:rsidR="005A1BA5" w:rsidRPr="00B74333">
        <w:rPr>
          <w:rFonts w:cstheme="minorHAnsi"/>
        </w:rPr>
        <w:t xml:space="preserve"> </w:t>
      </w:r>
      <w:r w:rsidR="00584EA6" w:rsidRPr="00B74333">
        <w:rPr>
          <w:rFonts w:cstheme="minorHAnsi"/>
        </w:rPr>
        <w:t>D</w:t>
      </w:r>
      <w:r w:rsidR="00057084" w:rsidRPr="00B74333">
        <w:rPr>
          <w:rFonts w:cstheme="minorHAnsi"/>
        </w:rPr>
        <w:t xml:space="preserve">ata </w:t>
      </w:r>
      <w:r w:rsidR="00584EA6" w:rsidRPr="00B74333">
        <w:rPr>
          <w:rFonts w:cstheme="minorHAnsi"/>
        </w:rPr>
        <w:t>P</w:t>
      </w:r>
      <w:r w:rsidR="00057084" w:rsidRPr="00B74333">
        <w:rPr>
          <w:rFonts w:cstheme="minorHAnsi"/>
        </w:rPr>
        <w:t xml:space="preserve">rotection </w:t>
      </w:r>
      <w:r w:rsidR="00584EA6" w:rsidRPr="00B74333">
        <w:rPr>
          <w:rFonts w:cstheme="minorHAnsi"/>
        </w:rPr>
        <w:t>P</w:t>
      </w:r>
      <w:r w:rsidR="00057084" w:rsidRPr="00B74333">
        <w:rPr>
          <w:rFonts w:cstheme="minorHAnsi"/>
        </w:rPr>
        <w:t>olicy publicly available on DESFA’s corporate website</w:t>
      </w:r>
      <w:r w:rsidR="00057084" w:rsidRPr="00B74333">
        <w:rPr>
          <w:rFonts w:cstheme="minorHAnsi"/>
          <w:vertAlign w:val="superscript"/>
        </w:rPr>
        <w:footnoteReference w:id="16"/>
      </w:r>
      <w:r w:rsidR="00057084" w:rsidRPr="00B74333">
        <w:rPr>
          <w:rFonts w:cstheme="minorHAnsi"/>
        </w:rPr>
        <w:t>.</w:t>
      </w:r>
      <w:r w:rsidR="00DD691D" w:rsidRPr="00B74333">
        <w:rPr>
          <w:rFonts w:cstheme="minorHAnsi"/>
        </w:rPr>
        <w:t xml:space="preserve"> </w:t>
      </w:r>
    </w:p>
    <w:p w14:paraId="245E9F2A" w14:textId="77777777" w:rsidR="00057084" w:rsidRPr="00B74333" w:rsidRDefault="00057084" w:rsidP="00057084">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hanging="567"/>
        <w:jc w:val="both"/>
        <w:rPr>
          <w:rFonts w:cstheme="minorHAnsi"/>
          <w:sz w:val="24"/>
          <w:szCs w:val="24"/>
        </w:rPr>
      </w:pPr>
    </w:p>
    <w:p w14:paraId="5D0CDC55" w14:textId="66464F08" w:rsidR="00057084" w:rsidRPr="00B74333" w:rsidRDefault="004625AA" w:rsidP="00C41B2F">
      <w:pPr>
        <w:pStyle w:val="Heading1"/>
        <w:spacing w:after="160"/>
        <w:ind w:left="426"/>
      </w:pPr>
      <w:bookmarkStart w:id="65" w:name="_Toc58000416"/>
      <w:bookmarkStart w:id="66" w:name="_Toc71289536"/>
      <w:bookmarkStart w:id="67" w:name="_Toc165465565"/>
      <w:r w:rsidRPr="00B74333">
        <w:t xml:space="preserve">Article </w:t>
      </w:r>
      <w:r w:rsidR="00314341" w:rsidRPr="00B74333">
        <w:t>1</w:t>
      </w:r>
      <w:r w:rsidR="00A93C48" w:rsidRPr="00B74333">
        <w:t>2</w:t>
      </w:r>
      <w:r w:rsidR="00314341" w:rsidRPr="00B74333">
        <w:t xml:space="preserve"> </w:t>
      </w:r>
      <w:r w:rsidRPr="00B74333">
        <w:t xml:space="preserve">- </w:t>
      </w:r>
      <w:r w:rsidR="00057084" w:rsidRPr="00B74333">
        <w:t>Governing Law and Dispute resolution</w:t>
      </w:r>
      <w:bookmarkEnd w:id="65"/>
      <w:bookmarkEnd w:id="66"/>
      <w:bookmarkEnd w:id="67"/>
    </w:p>
    <w:p w14:paraId="516D8D0F" w14:textId="47C2AA19" w:rsidR="007D23C9" w:rsidRPr="00B74333" w:rsidRDefault="000632C5" w:rsidP="00D6254A">
      <w:pPr>
        <w:pStyle w:val="ListParagraph"/>
        <w:widowControl w:val="0"/>
        <w:suppressAutoHyphens/>
        <w:spacing w:before="120" w:after="120" w:line="360" w:lineRule="auto"/>
        <w:ind w:left="426"/>
        <w:jc w:val="both"/>
        <w:rPr>
          <w:rFonts w:cstheme="minorHAnsi"/>
          <w:sz w:val="24"/>
          <w:szCs w:val="24"/>
        </w:rPr>
      </w:pPr>
      <w:r w:rsidRPr="00B74333">
        <w:rPr>
          <w:rFonts w:cstheme="minorHAnsi"/>
        </w:rPr>
        <w:t xml:space="preserve">For any dispute or disagreement arising out of or in connection with the Binding Phase </w:t>
      </w:r>
      <w:r w:rsidR="007735FA" w:rsidRPr="00B74333" w:rsidDel="00526016">
        <w:rPr>
          <w:rFonts w:cstheme="minorHAnsi"/>
        </w:rPr>
        <w:t xml:space="preserve">in </w:t>
      </w:r>
      <w:r w:rsidRPr="00B74333">
        <w:rPr>
          <w:rFonts w:cstheme="minorHAnsi"/>
        </w:rPr>
        <w:t>accordance with present Binding Phase Notice shall be governed by the laws of Greece. The courts exclusively competent to resolve said dispute or disagreement, which may not be amicably resolved, shall be the courts of Athens.</w:t>
      </w:r>
      <w:r w:rsidR="007D23C9" w:rsidRPr="00B74333">
        <w:rPr>
          <w:rFonts w:cstheme="minorHAnsi"/>
          <w:sz w:val="24"/>
          <w:szCs w:val="24"/>
        </w:rPr>
        <w:br w:type="page"/>
      </w:r>
    </w:p>
    <w:p w14:paraId="72C94CAA" w14:textId="77777777" w:rsidR="00D849C6" w:rsidRPr="00B74333" w:rsidRDefault="00D849C6" w:rsidP="000E44F5">
      <w:pPr>
        <w:pStyle w:val="Heading3"/>
        <w:pBdr>
          <w:bottom w:val="single" w:sz="4" w:space="1" w:color="auto"/>
        </w:pBdr>
        <w:rPr>
          <w:sz w:val="36"/>
          <w:szCs w:val="36"/>
        </w:rPr>
      </w:pPr>
      <w:bookmarkStart w:id="68" w:name="_Toc71289537"/>
      <w:bookmarkStart w:id="69" w:name="_Toc165465566"/>
      <w:r w:rsidRPr="00B74333">
        <w:rPr>
          <w:sz w:val="36"/>
          <w:szCs w:val="36"/>
        </w:rPr>
        <w:lastRenderedPageBreak/>
        <w:t xml:space="preserve">Annex I </w:t>
      </w:r>
      <w:r w:rsidR="00A05B10" w:rsidRPr="00B74333">
        <w:rPr>
          <w:sz w:val="36"/>
          <w:szCs w:val="36"/>
        </w:rPr>
        <w:t>-</w:t>
      </w:r>
      <w:r w:rsidRPr="00B74333">
        <w:rPr>
          <w:sz w:val="36"/>
          <w:szCs w:val="36"/>
        </w:rPr>
        <w:t xml:space="preserve"> Registration Form</w:t>
      </w:r>
      <w:bookmarkEnd w:id="68"/>
      <w:bookmarkEnd w:id="69"/>
    </w:p>
    <w:tbl>
      <w:tblPr>
        <w:tblW w:w="9442" w:type="dxa"/>
        <w:tblInd w:w="-108" w:type="dxa"/>
        <w:tblLayout w:type="fixed"/>
        <w:tblLook w:val="0000" w:firstRow="0" w:lastRow="0" w:firstColumn="0" w:lastColumn="0" w:noHBand="0" w:noVBand="0"/>
      </w:tblPr>
      <w:tblGrid>
        <w:gridCol w:w="3499"/>
        <w:gridCol w:w="5943"/>
      </w:tblGrid>
      <w:tr w:rsidR="00D849C6" w:rsidRPr="00B74333" w14:paraId="4027B0B8" w14:textId="77777777" w:rsidTr="001A64A1">
        <w:trPr>
          <w:trHeight w:val="2260"/>
        </w:trPr>
        <w:tc>
          <w:tcPr>
            <w:tcW w:w="3499" w:type="dxa"/>
          </w:tcPr>
          <w:p w14:paraId="2F8F1C41" w14:textId="59AAA0EC" w:rsidR="00D849C6" w:rsidRPr="00B74333" w:rsidRDefault="00754247" w:rsidP="00D849C6">
            <w:pPr>
              <w:pStyle w:val="Default"/>
              <w:rPr>
                <w:rFonts w:asciiTheme="minorHAnsi" w:hAnsiTheme="minorHAnsi" w:cstheme="minorHAnsi"/>
                <w:sz w:val="22"/>
                <w:szCs w:val="22"/>
              </w:rPr>
            </w:pPr>
            <w:r w:rsidRPr="00B74333">
              <w:rPr>
                <w:rFonts w:asciiTheme="minorHAnsi" w:hAnsiTheme="minorHAnsi" w:cstheme="minorHAnsi"/>
                <w:sz w:val="22"/>
                <w:szCs w:val="22"/>
              </w:rPr>
              <w:t>T</w:t>
            </w:r>
            <w:r w:rsidR="00D849C6" w:rsidRPr="00B74333">
              <w:rPr>
                <w:rFonts w:asciiTheme="minorHAnsi" w:hAnsiTheme="minorHAnsi" w:cstheme="minorHAnsi"/>
                <w:sz w:val="22"/>
                <w:szCs w:val="22"/>
              </w:rPr>
              <w:t xml:space="preserve">o: </w:t>
            </w:r>
          </w:p>
          <w:p w14:paraId="203BC541" w14:textId="77777777" w:rsidR="00D849C6" w:rsidRPr="00B74333" w:rsidRDefault="00D849C6" w:rsidP="00D849C6">
            <w:pPr>
              <w:pStyle w:val="Default"/>
              <w:rPr>
                <w:rFonts w:asciiTheme="minorHAnsi" w:hAnsiTheme="minorHAnsi" w:cstheme="minorHAnsi"/>
                <w:sz w:val="22"/>
                <w:szCs w:val="22"/>
              </w:rPr>
            </w:pPr>
          </w:p>
          <w:p w14:paraId="300B07B6" w14:textId="77777777" w:rsidR="00D849C6" w:rsidRPr="00B74333" w:rsidRDefault="00D849C6" w:rsidP="00D849C6">
            <w:pPr>
              <w:pStyle w:val="Default"/>
              <w:rPr>
                <w:rFonts w:asciiTheme="minorHAnsi" w:hAnsiTheme="minorHAnsi" w:cstheme="minorHAnsi"/>
                <w:b/>
                <w:sz w:val="22"/>
                <w:szCs w:val="22"/>
              </w:rPr>
            </w:pPr>
            <w:r w:rsidRPr="00B74333">
              <w:rPr>
                <w:rFonts w:asciiTheme="minorHAnsi" w:hAnsiTheme="minorHAnsi" w:cstheme="minorHAnsi"/>
                <w:b/>
                <w:sz w:val="22"/>
                <w:szCs w:val="22"/>
              </w:rPr>
              <w:t>DESFA</w:t>
            </w:r>
          </w:p>
          <w:p w14:paraId="32339454" w14:textId="77777777" w:rsidR="00D849C6" w:rsidRPr="00B74333" w:rsidRDefault="00D849C6" w:rsidP="00D849C6">
            <w:pPr>
              <w:pStyle w:val="Default"/>
              <w:rPr>
                <w:rFonts w:asciiTheme="minorHAnsi" w:hAnsiTheme="minorHAnsi" w:cstheme="minorHAnsi"/>
                <w:b/>
                <w:sz w:val="22"/>
                <w:szCs w:val="22"/>
              </w:rPr>
            </w:pPr>
            <w:r w:rsidRPr="00B74333">
              <w:rPr>
                <w:rFonts w:asciiTheme="minorHAnsi" w:hAnsiTheme="minorHAnsi" w:cstheme="minorHAnsi"/>
                <w:b/>
                <w:sz w:val="22"/>
                <w:szCs w:val="22"/>
              </w:rPr>
              <w:t xml:space="preserve">Commercial </w:t>
            </w:r>
            <w:r w:rsidR="009E00B3" w:rsidRPr="00B74333">
              <w:rPr>
                <w:rFonts w:asciiTheme="minorHAnsi" w:hAnsiTheme="minorHAnsi" w:cstheme="minorHAnsi"/>
                <w:b/>
                <w:sz w:val="22"/>
                <w:szCs w:val="22"/>
              </w:rPr>
              <w:t xml:space="preserve">Services </w:t>
            </w:r>
            <w:r w:rsidRPr="00B74333">
              <w:rPr>
                <w:rFonts w:asciiTheme="minorHAnsi" w:hAnsiTheme="minorHAnsi" w:cstheme="minorHAnsi"/>
                <w:b/>
                <w:sz w:val="22"/>
                <w:szCs w:val="22"/>
              </w:rPr>
              <w:t>Division</w:t>
            </w:r>
          </w:p>
          <w:p w14:paraId="7FCE31BB" w14:textId="3785BB49" w:rsidR="00D849C6" w:rsidRPr="00B74333" w:rsidRDefault="00000000" w:rsidP="00D849C6">
            <w:pPr>
              <w:pStyle w:val="Default"/>
              <w:rPr>
                <w:rFonts w:asciiTheme="minorHAnsi" w:hAnsiTheme="minorHAnsi" w:cstheme="minorHAnsi"/>
                <w:sz w:val="22"/>
                <w:szCs w:val="22"/>
              </w:rPr>
            </w:pPr>
            <w:hyperlink r:id="rId16" w:history="1">
              <w:r w:rsidR="009E00B3" w:rsidRPr="00B74333">
                <w:rPr>
                  <w:rStyle w:val="Hyperlink"/>
                  <w:rFonts w:asciiTheme="minorHAnsi" w:hAnsiTheme="minorHAnsi" w:cstheme="minorHAnsi"/>
                  <w:sz w:val="22"/>
                  <w:szCs w:val="22"/>
                </w:rPr>
                <w:t>market-test@DESFA.GR</w:t>
              </w:r>
            </w:hyperlink>
            <w:r w:rsidR="009E00B3" w:rsidRPr="00B74333">
              <w:rPr>
                <w:rFonts w:asciiTheme="minorHAnsi" w:hAnsiTheme="minorHAnsi" w:cstheme="minorHAnsi"/>
                <w:sz w:val="22"/>
                <w:szCs w:val="22"/>
              </w:rPr>
              <w:t xml:space="preserve"> </w:t>
            </w:r>
            <w:r w:rsidR="00D849C6" w:rsidRPr="00B74333">
              <w:rPr>
                <w:rFonts w:asciiTheme="minorHAnsi" w:hAnsiTheme="minorHAnsi" w:cstheme="minorHAnsi"/>
                <w:sz w:val="22"/>
                <w:szCs w:val="22"/>
              </w:rPr>
              <w:t xml:space="preserve"> </w:t>
            </w:r>
          </w:p>
          <w:p w14:paraId="2456BD42" w14:textId="77777777" w:rsidR="00D849C6" w:rsidRPr="00B74333" w:rsidRDefault="00D849C6" w:rsidP="00D849C6">
            <w:pPr>
              <w:pStyle w:val="Default"/>
              <w:rPr>
                <w:rFonts w:asciiTheme="minorHAnsi" w:hAnsiTheme="minorHAnsi" w:cstheme="minorHAnsi"/>
                <w:sz w:val="22"/>
                <w:szCs w:val="22"/>
              </w:rPr>
            </w:pPr>
            <w:r w:rsidRPr="00B74333">
              <w:rPr>
                <w:rFonts w:asciiTheme="minorHAnsi" w:hAnsiTheme="minorHAnsi" w:cstheme="minorHAnsi"/>
                <w:sz w:val="22"/>
                <w:szCs w:val="22"/>
              </w:rPr>
              <w:t xml:space="preserve">357-359 </w:t>
            </w:r>
            <w:proofErr w:type="spellStart"/>
            <w:r w:rsidRPr="00B74333">
              <w:rPr>
                <w:rFonts w:asciiTheme="minorHAnsi" w:hAnsiTheme="minorHAnsi" w:cstheme="minorHAnsi"/>
                <w:sz w:val="22"/>
                <w:szCs w:val="22"/>
              </w:rPr>
              <w:t>Messogion</w:t>
            </w:r>
            <w:proofErr w:type="spellEnd"/>
            <w:r w:rsidRPr="00B74333">
              <w:rPr>
                <w:rFonts w:asciiTheme="minorHAnsi" w:hAnsiTheme="minorHAnsi" w:cstheme="minorHAnsi"/>
                <w:sz w:val="22"/>
                <w:szCs w:val="22"/>
              </w:rPr>
              <w:t xml:space="preserve"> Ave.,</w:t>
            </w:r>
          </w:p>
          <w:p w14:paraId="2EA75D3A" w14:textId="77777777" w:rsidR="00D849C6" w:rsidRPr="00B74333" w:rsidRDefault="00D849C6" w:rsidP="00D849C6">
            <w:pPr>
              <w:pStyle w:val="Default"/>
              <w:rPr>
                <w:rFonts w:asciiTheme="minorHAnsi" w:hAnsiTheme="minorHAnsi" w:cstheme="minorHAnsi"/>
                <w:sz w:val="22"/>
                <w:szCs w:val="22"/>
              </w:rPr>
            </w:pPr>
            <w:r w:rsidRPr="00B74333">
              <w:rPr>
                <w:rFonts w:asciiTheme="minorHAnsi" w:hAnsiTheme="minorHAnsi" w:cstheme="minorHAnsi"/>
                <w:sz w:val="22"/>
                <w:szCs w:val="22"/>
              </w:rPr>
              <w:t>Athens, 15231, Greece</w:t>
            </w:r>
          </w:p>
          <w:p w14:paraId="35E6A1F8" w14:textId="5062ABC5" w:rsidR="00754247" w:rsidRPr="00B74333" w:rsidRDefault="00000000" w:rsidP="009E00B3">
            <w:pPr>
              <w:pStyle w:val="Default"/>
              <w:rPr>
                <w:rFonts w:asciiTheme="minorHAnsi" w:hAnsiTheme="minorHAnsi" w:cstheme="minorHAnsi"/>
                <w:sz w:val="22"/>
                <w:szCs w:val="22"/>
              </w:rPr>
            </w:pPr>
            <w:hyperlink r:id="rId17" w:history="1">
              <w:r w:rsidR="00D849C6" w:rsidRPr="00B74333">
                <w:rPr>
                  <w:rStyle w:val="Hyperlink"/>
                  <w:rFonts w:asciiTheme="minorHAnsi" w:hAnsiTheme="minorHAnsi" w:cstheme="minorHAnsi"/>
                  <w:sz w:val="22"/>
                  <w:szCs w:val="22"/>
                </w:rPr>
                <w:t>www.desfa.gr</w:t>
              </w:r>
            </w:hyperlink>
            <w:r w:rsidR="00D849C6" w:rsidRPr="00B74333">
              <w:rPr>
                <w:rFonts w:asciiTheme="minorHAnsi" w:hAnsiTheme="minorHAnsi" w:cstheme="minorHAnsi"/>
                <w:sz w:val="22"/>
                <w:szCs w:val="22"/>
              </w:rPr>
              <w:t xml:space="preserve"> </w:t>
            </w:r>
          </w:p>
        </w:tc>
        <w:tc>
          <w:tcPr>
            <w:tcW w:w="5943" w:type="dxa"/>
          </w:tcPr>
          <w:p w14:paraId="5F9C8AEC" w14:textId="2F577A41" w:rsidR="00D849C6" w:rsidRPr="00B74333" w:rsidRDefault="00D849C6" w:rsidP="00EE3E61">
            <w:pPr>
              <w:autoSpaceDE w:val="0"/>
              <w:autoSpaceDN w:val="0"/>
              <w:adjustRightInd w:val="0"/>
              <w:spacing w:after="0" w:line="240" w:lineRule="auto"/>
              <w:jc w:val="both"/>
              <w:rPr>
                <w:rFonts w:cstheme="minorHAnsi"/>
                <w:color w:val="000000"/>
              </w:rPr>
            </w:pPr>
          </w:p>
          <w:p w14:paraId="138A6A96" w14:textId="77777777" w:rsidR="00D849C6" w:rsidRPr="00B74333" w:rsidRDefault="00D849C6" w:rsidP="00D849C6">
            <w:pPr>
              <w:autoSpaceDE w:val="0"/>
              <w:autoSpaceDN w:val="0"/>
              <w:adjustRightInd w:val="0"/>
              <w:spacing w:after="0" w:line="240" w:lineRule="auto"/>
              <w:rPr>
                <w:rFonts w:cstheme="minorHAnsi"/>
                <w:color w:val="000000"/>
              </w:rPr>
            </w:pPr>
          </w:p>
        </w:tc>
      </w:tr>
    </w:tbl>
    <w:p w14:paraId="10F6236A" w14:textId="0BEF1DBA" w:rsidR="00AF0E33" w:rsidRPr="00B74333" w:rsidRDefault="00AF0E33" w:rsidP="001A64A1">
      <w:pPr>
        <w:pStyle w:val="alignjustify"/>
        <w:spacing w:before="480"/>
        <w:jc w:val="center"/>
        <w:rPr>
          <w:rFonts w:asciiTheme="minorHAnsi" w:hAnsiTheme="minorHAnsi" w:cstheme="minorHAnsi"/>
          <w:b/>
          <w:bCs/>
          <w:sz w:val="22"/>
          <w:szCs w:val="22"/>
          <w:lang w:val="en-US"/>
        </w:rPr>
      </w:pPr>
      <w:r w:rsidRPr="00B74333">
        <w:rPr>
          <w:rFonts w:asciiTheme="minorHAnsi" w:hAnsiTheme="minorHAnsi" w:cstheme="minorHAnsi"/>
          <w:b/>
          <w:bCs/>
          <w:sz w:val="22"/>
          <w:szCs w:val="22"/>
          <w:lang w:val="en-US"/>
        </w:rPr>
        <w:t xml:space="preserve">Registration Form for the participation to the Binding Bidding Phase of the </w:t>
      </w:r>
      <w:r w:rsidR="00576615" w:rsidRPr="00B74333">
        <w:rPr>
          <w:rFonts w:asciiTheme="minorHAnsi" w:hAnsiTheme="minorHAnsi" w:cstheme="minorHAnsi"/>
          <w:b/>
          <w:bCs/>
          <w:sz w:val="22"/>
          <w:szCs w:val="22"/>
          <w:lang w:val="en-US"/>
        </w:rPr>
        <w:t xml:space="preserve">Market Test Process </w:t>
      </w:r>
      <w:r w:rsidR="006079DF" w:rsidRPr="00B74333">
        <w:rPr>
          <w:rFonts w:asciiTheme="minorHAnsi" w:hAnsiTheme="minorHAnsi" w:cstheme="minorHAnsi"/>
          <w:b/>
          <w:bCs/>
          <w:sz w:val="22"/>
          <w:szCs w:val="22"/>
          <w:lang w:val="en-US"/>
        </w:rPr>
        <w:t>for the Expa</w:t>
      </w:r>
      <w:r w:rsidR="009B3BA2" w:rsidRPr="00B74333">
        <w:rPr>
          <w:rFonts w:asciiTheme="minorHAnsi" w:hAnsiTheme="minorHAnsi" w:cstheme="minorHAnsi"/>
          <w:b/>
          <w:bCs/>
          <w:sz w:val="22"/>
          <w:szCs w:val="22"/>
          <w:lang w:val="en-US"/>
        </w:rPr>
        <w:t>n</w:t>
      </w:r>
      <w:r w:rsidR="006079DF" w:rsidRPr="00B74333">
        <w:rPr>
          <w:rFonts w:asciiTheme="minorHAnsi" w:hAnsiTheme="minorHAnsi" w:cstheme="minorHAnsi"/>
          <w:b/>
          <w:bCs/>
          <w:sz w:val="22"/>
          <w:szCs w:val="22"/>
          <w:lang w:val="en-US"/>
        </w:rPr>
        <w:t>sion of the NNGS</w:t>
      </w:r>
      <w:r w:rsidRPr="00B74333">
        <w:rPr>
          <w:rFonts w:asciiTheme="minorHAnsi" w:hAnsiTheme="minorHAnsi" w:cstheme="minorHAnsi"/>
          <w:b/>
          <w:bCs/>
          <w:sz w:val="22"/>
          <w:szCs w:val="22"/>
          <w:lang w:val="en-US"/>
        </w:rPr>
        <w:t xml:space="preserve"> carried out by the Operator of the National Natural Gas Transmission system of Greece (DESFA)</w:t>
      </w:r>
    </w:p>
    <w:p w14:paraId="19429C86" w14:textId="7B86B930" w:rsidR="00960675" w:rsidRPr="00B74333" w:rsidRDefault="00C82CD6" w:rsidP="00C82CD6">
      <w:pPr>
        <w:pStyle w:val="alignjustify"/>
        <w:spacing w:before="480"/>
        <w:jc w:val="both"/>
        <w:rPr>
          <w:rFonts w:asciiTheme="minorHAnsi" w:hAnsiTheme="minorHAnsi" w:cstheme="minorHAnsi"/>
          <w:sz w:val="22"/>
          <w:szCs w:val="22"/>
          <w:lang w:val="en-US"/>
        </w:rPr>
      </w:pPr>
      <w:r w:rsidRPr="00B74333">
        <w:rPr>
          <w:rFonts w:asciiTheme="minorHAnsi" w:hAnsiTheme="minorHAnsi" w:cstheme="minorHAnsi"/>
          <w:sz w:val="22"/>
          <w:szCs w:val="22"/>
          <w:lang w:val="en-US"/>
        </w:rPr>
        <w:t>The undersigned [•] in his/her capacity as [•] acting in the name and on behalf of [•], a company incorporated and existing under the laws of [•], having its headquarters and registered office at [•], registered under the Business Registry number [•] (hereinafter the “Company”</w:t>
      </w:r>
      <w:r w:rsidR="00720F69" w:rsidRPr="00B74333">
        <w:rPr>
          <w:rFonts w:asciiTheme="minorHAnsi" w:hAnsiTheme="minorHAnsi" w:cstheme="minorHAnsi"/>
          <w:sz w:val="22"/>
          <w:szCs w:val="22"/>
          <w:lang w:val="en-US"/>
        </w:rPr>
        <w:t xml:space="preserve"> or the “Applicant”</w:t>
      </w:r>
      <w:proofErr w:type="gramStart"/>
      <w:r w:rsidRPr="00B74333">
        <w:rPr>
          <w:rFonts w:asciiTheme="minorHAnsi" w:hAnsiTheme="minorHAnsi" w:cstheme="minorHAnsi"/>
          <w:sz w:val="22"/>
          <w:szCs w:val="22"/>
          <w:lang w:val="en-US"/>
        </w:rPr>
        <w:t>);</w:t>
      </w:r>
      <w:proofErr w:type="gramEnd"/>
    </w:p>
    <w:p w14:paraId="3CFECDB5" w14:textId="77777777" w:rsidR="00C82CD6" w:rsidRPr="00B74333" w:rsidRDefault="00C82CD6" w:rsidP="007B52CF">
      <w:pPr>
        <w:pStyle w:val="ListParagraph"/>
        <w:autoSpaceDE w:val="0"/>
        <w:autoSpaceDN w:val="0"/>
        <w:adjustRightInd w:val="0"/>
        <w:spacing w:after="0" w:line="276" w:lineRule="auto"/>
        <w:ind w:left="360"/>
        <w:jc w:val="both"/>
        <w:rPr>
          <w:rFonts w:cstheme="minorHAnsi"/>
          <w:color w:val="000000"/>
        </w:rPr>
      </w:pPr>
    </w:p>
    <w:p w14:paraId="72AFF17F" w14:textId="49F9E435" w:rsidR="00D849C6" w:rsidRPr="00B74333" w:rsidRDefault="00D849C6">
      <w:pPr>
        <w:pStyle w:val="ListParagraph"/>
        <w:numPr>
          <w:ilvl w:val="0"/>
          <w:numId w:val="35"/>
        </w:numPr>
        <w:autoSpaceDE w:val="0"/>
        <w:autoSpaceDN w:val="0"/>
        <w:adjustRightInd w:val="0"/>
        <w:spacing w:after="0" w:line="276" w:lineRule="auto"/>
        <w:jc w:val="both"/>
        <w:rPr>
          <w:rFonts w:cstheme="minorHAnsi"/>
          <w:color w:val="000000"/>
        </w:rPr>
      </w:pPr>
      <w:r w:rsidRPr="00B74333">
        <w:rPr>
          <w:rFonts w:cstheme="minorHAnsi"/>
          <w:color w:val="000000"/>
        </w:rPr>
        <w:t xml:space="preserve">By signing this Registration Form, confirms and agrees that: </w:t>
      </w:r>
    </w:p>
    <w:p w14:paraId="0C387388" w14:textId="77777777" w:rsidR="00E66E62" w:rsidRPr="00B74333" w:rsidRDefault="00E66E62" w:rsidP="001A64A1">
      <w:pPr>
        <w:pStyle w:val="ListParagraph"/>
        <w:autoSpaceDE w:val="0"/>
        <w:autoSpaceDN w:val="0"/>
        <w:adjustRightInd w:val="0"/>
        <w:spacing w:after="0" w:line="276" w:lineRule="auto"/>
        <w:ind w:left="360"/>
        <w:jc w:val="both"/>
        <w:rPr>
          <w:rFonts w:cstheme="minorHAnsi"/>
          <w:color w:val="000000"/>
        </w:rPr>
      </w:pPr>
    </w:p>
    <w:p w14:paraId="62D08D78" w14:textId="6F65D376" w:rsidR="00D849C6" w:rsidRPr="00B74333" w:rsidRDefault="00D849C6">
      <w:pPr>
        <w:pStyle w:val="ListParagraph"/>
        <w:numPr>
          <w:ilvl w:val="0"/>
          <w:numId w:val="37"/>
        </w:numPr>
        <w:autoSpaceDE w:val="0"/>
        <w:autoSpaceDN w:val="0"/>
        <w:adjustRightInd w:val="0"/>
        <w:spacing w:after="0" w:line="276" w:lineRule="auto"/>
        <w:jc w:val="both"/>
        <w:rPr>
          <w:rFonts w:cstheme="minorHAnsi"/>
          <w:color w:val="000000"/>
        </w:rPr>
      </w:pPr>
      <w:r w:rsidRPr="00B74333">
        <w:rPr>
          <w:rFonts w:cstheme="minorHAnsi"/>
          <w:color w:val="000000"/>
        </w:rPr>
        <w:t xml:space="preserve">Has studied, fully understands and accepts </w:t>
      </w:r>
      <w:r w:rsidRPr="00B74333">
        <w:rPr>
          <w:rFonts w:cstheme="minorHAnsi"/>
        </w:rPr>
        <w:t xml:space="preserve">all terms contained in </w:t>
      </w:r>
      <w:r w:rsidRPr="00B74333">
        <w:rPr>
          <w:rFonts w:cstheme="minorHAnsi"/>
          <w:color w:val="000000"/>
        </w:rPr>
        <w:t>the</w:t>
      </w:r>
      <w:r w:rsidR="00AD77C0" w:rsidRPr="00B74333">
        <w:rPr>
          <w:rFonts w:cstheme="minorHAnsi"/>
          <w:color w:val="000000"/>
        </w:rPr>
        <w:t xml:space="preserve"> </w:t>
      </w:r>
      <w:r w:rsidR="00030B36" w:rsidRPr="00B74333">
        <w:rPr>
          <w:rFonts w:cstheme="minorHAnsi"/>
          <w:color w:val="000000"/>
        </w:rPr>
        <w:t>Market Test Process</w:t>
      </w:r>
      <w:r w:rsidR="00DE5975" w:rsidRPr="00B74333">
        <w:rPr>
          <w:rFonts w:cstheme="minorHAnsi"/>
          <w:color w:val="000000"/>
        </w:rPr>
        <w:t xml:space="preserve"> and the</w:t>
      </w:r>
      <w:r w:rsidR="0087154E" w:rsidRPr="00B74333">
        <w:rPr>
          <w:rFonts w:cstheme="minorHAnsi"/>
          <w:color w:val="000000"/>
        </w:rPr>
        <w:t xml:space="preserve"> </w:t>
      </w:r>
      <w:r w:rsidR="008E2220" w:rsidRPr="00B74333">
        <w:rPr>
          <w:rFonts w:cstheme="minorHAnsi"/>
          <w:color w:val="000000"/>
        </w:rPr>
        <w:t>202</w:t>
      </w:r>
      <w:r w:rsidR="0087154E" w:rsidRPr="00B74333">
        <w:rPr>
          <w:rFonts w:cstheme="minorHAnsi"/>
          <w:color w:val="000000"/>
        </w:rPr>
        <w:t>3</w:t>
      </w:r>
      <w:r w:rsidR="008E2220" w:rsidRPr="00B74333">
        <w:rPr>
          <w:rFonts w:cstheme="minorHAnsi"/>
          <w:color w:val="000000"/>
        </w:rPr>
        <w:t xml:space="preserve"> </w:t>
      </w:r>
      <w:r w:rsidRPr="00B74333">
        <w:rPr>
          <w:rFonts w:cstheme="minorHAnsi"/>
          <w:color w:val="000000"/>
        </w:rPr>
        <w:t>Incremental Capacity Process as set out in the Project Proposal</w:t>
      </w:r>
      <w:r w:rsidR="0087154E" w:rsidRPr="00B74333">
        <w:rPr>
          <w:rFonts w:cstheme="minorHAnsi"/>
          <w:color w:val="000000"/>
        </w:rPr>
        <w:t>s</w:t>
      </w:r>
      <w:r w:rsidRPr="00B74333">
        <w:rPr>
          <w:rFonts w:cstheme="minorHAnsi"/>
          <w:color w:val="000000"/>
        </w:rPr>
        <w:t xml:space="preserve"> and the Joint Notice</w:t>
      </w:r>
      <w:r w:rsidR="0087154E" w:rsidRPr="00B74333">
        <w:rPr>
          <w:rFonts w:cstheme="minorHAnsi"/>
          <w:color w:val="000000"/>
        </w:rPr>
        <w:t>s</w:t>
      </w:r>
      <w:r w:rsidRPr="00B74333">
        <w:rPr>
          <w:rFonts w:cstheme="minorHAnsi"/>
          <w:color w:val="000000"/>
        </w:rPr>
        <w:t>,</w:t>
      </w:r>
      <w:r w:rsidRPr="00B74333">
        <w:rPr>
          <w:rFonts w:cstheme="minorHAnsi"/>
        </w:rPr>
        <w:t xml:space="preserve"> including DESFA’s Binding </w:t>
      </w:r>
      <w:r w:rsidR="006918BD" w:rsidRPr="00B74333">
        <w:rPr>
          <w:rFonts w:cstheme="minorHAnsi"/>
        </w:rPr>
        <w:t xml:space="preserve">Phase </w:t>
      </w:r>
      <w:proofErr w:type="gramStart"/>
      <w:r w:rsidRPr="00B74333">
        <w:rPr>
          <w:rFonts w:cstheme="minorHAnsi"/>
        </w:rPr>
        <w:t>Notice</w:t>
      </w:r>
      <w:r w:rsidR="008D3CFF" w:rsidRPr="00B74333">
        <w:rPr>
          <w:rFonts w:cstheme="minorHAnsi"/>
          <w:color w:val="000000"/>
        </w:rPr>
        <w:t>;</w:t>
      </w:r>
      <w:proofErr w:type="gramEnd"/>
    </w:p>
    <w:p w14:paraId="75D02A01" w14:textId="34870B0C" w:rsidR="00D849C6" w:rsidRPr="00B74333" w:rsidRDefault="00D849C6">
      <w:pPr>
        <w:pStyle w:val="ListParagraph"/>
        <w:numPr>
          <w:ilvl w:val="0"/>
          <w:numId w:val="37"/>
        </w:numPr>
        <w:autoSpaceDE w:val="0"/>
        <w:autoSpaceDN w:val="0"/>
        <w:adjustRightInd w:val="0"/>
        <w:spacing w:after="0" w:line="276" w:lineRule="auto"/>
        <w:jc w:val="both"/>
        <w:rPr>
          <w:rFonts w:cstheme="minorHAnsi"/>
        </w:rPr>
      </w:pPr>
      <w:r w:rsidRPr="00B74333">
        <w:rPr>
          <w:rFonts w:cstheme="minorHAnsi"/>
        </w:rPr>
        <w:t>Has studied, fully understands, accepts and complies</w:t>
      </w:r>
      <w:r w:rsidRPr="00B74333" w:rsidDel="00150306">
        <w:rPr>
          <w:rFonts w:cstheme="minorHAnsi"/>
        </w:rPr>
        <w:t xml:space="preserve"> </w:t>
      </w:r>
      <w:r w:rsidRPr="00B74333">
        <w:rPr>
          <w:rFonts w:cstheme="minorHAnsi"/>
        </w:rPr>
        <w:t xml:space="preserve">with the provisions of Regulation (EU) 2017/459, as well as with the Hellenic applicable legislation for gas transmission and especially Law 4001/2011, as in force and DESFA’s National Natural Gas System Network Code </w:t>
      </w:r>
      <w:r w:rsidR="00A41BC1" w:rsidRPr="00B74333">
        <w:rPr>
          <w:rFonts w:cstheme="minorHAnsi"/>
        </w:rPr>
        <w:t xml:space="preserve">as in </w:t>
      </w:r>
      <w:proofErr w:type="gramStart"/>
      <w:r w:rsidR="00A41BC1" w:rsidRPr="00B74333">
        <w:rPr>
          <w:rFonts w:cstheme="minorHAnsi"/>
        </w:rPr>
        <w:t>force</w:t>
      </w:r>
      <w:r w:rsidR="008D3CFF" w:rsidRPr="00B74333">
        <w:rPr>
          <w:rFonts w:cstheme="minorHAnsi"/>
        </w:rPr>
        <w:t>;</w:t>
      </w:r>
      <w:proofErr w:type="gramEnd"/>
    </w:p>
    <w:p w14:paraId="4DE85A67" w14:textId="3BBFA7F9" w:rsidR="00D849C6" w:rsidRPr="00B74333" w:rsidRDefault="00D849C6">
      <w:pPr>
        <w:pStyle w:val="ListParagraph"/>
        <w:numPr>
          <w:ilvl w:val="0"/>
          <w:numId w:val="37"/>
        </w:numPr>
        <w:autoSpaceDE w:val="0"/>
        <w:autoSpaceDN w:val="0"/>
        <w:adjustRightInd w:val="0"/>
        <w:spacing w:after="0" w:line="276" w:lineRule="auto"/>
        <w:jc w:val="both"/>
        <w:rPr>
          <w:rFonts w:cstheme="minorHAnsi"/>
        </w:rPr>
      </w:pPr>
      <w:r w:rsidRPr="00B74333">
        <w:rPr>
          <w:rFonts w:cstheme="minorHAnsi"/>
        </w:rPr>
        <w:t>This Registration Form, including all documents and data submitted in this context can be shared with the TSOs</w:t>
      </w:r>
      <w:r w:rsidR="00DA711D" w:rsidRPr="00B74333">
        <w:rPr>
          <w:rFonts w:cstheme="minorHAnsi"/>
        </w:rPr>
        <w:t xml:space="preserve"> Concerned</w:t>
      </w:r>
      <w:r w:rsidRPr="00B74333">
        <w:rPr>
          <w:rFonts w:cstheme="minorHAnsi"/>
        </w:rPr>
        <w:t xml:space="preserve"> for the assessment of the demand for incremental capacity at their joint Interconnection Points</w:t>
      </w:r>
      <w:r w:rsidR="00332848" w:rsidRPr="00B74333">
        <w:rPr>
          <w:rFonts w:cstheme="minorHAnsi"/>
        </w:rPr>
        <w:t>.</w:t>
      </w:r>
    </w:p>
    <w:p w14:paraId="65E10CF0" w14:textId="77777777" w:rsidR="00D849C6" w:rsidRPr="00B74333" w:rsidRDefault="00D849C6" w:rsidP="00D849C6">
      <w:pPr>
        <w:autoSpaceDE w:val="0"/>
        <w:autoSpaceDN w:val="0"/>
        <w:adjustRightInd w:val="0"/>
        <w:spacing w:after="0" w:line="276" w:lineRule="auto"/>
        <w:jc w:val="both"/>
        <w:rPr>
          <w:rFonts w:cstheme="minorHAnsi"/>
        </w:rPr>
      </w:pPr>
    </w:p>
    <w:p w14:paraId="05BA4622" w14:textId="3F7CF110" w:rsidR="00D849C6" w:rsidRPr="00B74333" w:rsidRDefault="001A706D">
      <w:pPr>
        <w:pStyle w:val="ListParagraph"/>
        <w:numPr>
          <w:ilvl w:val="0"/>
          <w:numId w:val="35"/>
        </w:numPr>
        <w:autoSpaceDE w:val="0"/>
        <w:autoSpaceDN w:val="0"/>
        <w:adjustRightInd w:val="0"/>
        <w:spacing w:after="0" w:line="276" w:lineRule="auto"/>
        <w:jc w:val="both"/>
        <w:rPr>
          <w:rFonts w:cstheme="minorHAnsi"/>
        </w:rPr>
      </w:pPr>
      <w:r w:rsidRPr="00B74333">
        <w:rPr>
          <w:rFonts w:cstheme="minorHAnsi"/>
        </w:rPr>
        <w:t>S</w:t>
      </w:r>
      <w:r w:rsidR="00D849C6" w:rsidRPr="00B74333">
        <w:rPr>
          <w:rFonts w:cstheme="minorHAnsi"/>
        </w:rPr>
        <w:t>ubmits with this Registration Form the following documents:</w:t>
      </w:r>
    </w:p>
    <w:p w14:paraId="0E34D8FD" w14:textId="77777777" w:rsidR="0050178C" w:rsidRPr="00B74333" w:rsidRDefault="0050178C" w:rsidP="001A64A1">
      <w:pPr>
        <w:pStyle w:val="ListParagraph"/>
        <w:autoSpaceDE w:val="0"/>
        <w:autoSpaceDN w:val="0"/>
        <w:adjustRightInd w:val="0"/>
        <w:spacing w:after="0" w:line="276" w:lineRule="auto"/>
        <w:ind w:left="360"/>
        <w:jc w:val="both"/>
        <w:rPr>
          <w:rFonts w:cstheme="minorHAnsi"/>
          <w:color w:val="000000"/>
          <w:u w:val="single"/>
        </w:rPr>
      </w:pPr>
    </w:p>
    <w:p w14:paraId="0885ADAF" w14:textId="040458D0" w:rsidR="00B1789C" w:rsidRPr="00B74333" w:rsidRDefault="00D849C6">
      <w:pPr>
        <w:pStyle w:val="ListParagraph"/>
        <w:numPr>
          <w:ilvl w:val="0"/>
          <w:numId w:val="38"/>
        </w:numPr>
        <w:autoSpaceDE w:val="0"/>
        <w:autoSpaceDN w:val="0"/>
        <w:adjustRightInd w:val="0"/>
        <w:spacing w:after="0" w:line="276" w:lineRule="auto"/>
        <w:jc w:val="both"/>
        <w:rPr>
          <w:rFonts w:cstheme="minorHAnsi"/>
          <w:color w:val="000000"/>
        </w:rPr>
      </w:pPr>
      <w:r w:rsidRPr="00B74333">
        <w:rPr>
          <w:rFonts w:cstheme="minorHAnsi"/>
          <w:color w:val="000000"/>
        </w:rPr>
        <w:t xml:space="preserve">Hellenic Regulatory Authority of </w:t>
      </w:r>
      <w:r w:rsidR="00825095" w:rsidRPr="00B74333">
        <w:rPr>
          <w:rFonts w:cstheme="minorHAnsi"/>
          <w:color w:val="000000"/>
        </w:rPr>
        <w:t xml:space="preserve">Waste, </w:t>
      </w:r>
      <w:r w:rsidRPr="00B74333">
        <w:rPr>
          <w:rFonts w:cstheme="minorHAnsi"/>
          <w:color w:val="000000"/>
        </w:rPr>
        <w:t xml:space="preserve">Energy </w:t>
      </w:r>
      <w:r w:rsidR="00825095" w:rsidRPr="00B74333">
        <w:rPr>
          <w:rFonts w:cstheme="minorHAnsi"/>
          <w:color w:val="000000"/>
        </w:rPr>
        <w:t xml:space="preserve">and Water </w:t>
      </w:r>
      <w:r w:rsidRPr="00B74333">
        <w:rPr>
          <w:rFonts w:cstheme="minorHAnsi"/>
          <w:color w:val="000000"/>
        </w:rPr>
        <w:t>(RAE</w:t>
      </w:r>
      <w:r w:rsidR="006A0C34" w:rsidRPr="00B74333">
        <w:rPr>
          <w:rFonts w:cstheme="minorHAnsi"/>
          <w:color w:val="000000"/>
        </w:rPr>
        <w:t>W</w:t>
      </w:r>
      <w:r w:rsidR="002331D3" w:rsidRPr="00B74333">
        <w:rPr>
          <w:rFonts w:cstheme="minorHAnsi"/>
          <w:color w:val="000000"/>
        </w:rPr>
        <w:t>W</w:t>
      </w:r>
      <w:r w:rsidR="00345B0F" w:rsidRPr="00B74333">
        <w:rPr>
          <w:rFonts w:cstheme="minorHAnsi"/>
          <w:color w:val="000000"/>
        </w:rPr>
        <w:t>)</w:t>
      </w:r>
      <w:r w:rsidRPr="00B74333">
        <w:rPr>
          <w:rFonts w:cstheme="minorHAnsi"/>
          <w:color w:val="000000"/>
        </w:rPr>
        <w:t xml:space="preserve"> decision for its registration to the RAE</w:t>
      </w:r>
      <w:r w:rsidR="00F36341" w:rsidRPr="00B74333">
        <w:rPr>
          <w:rFonts w:cstheme="minorHAnsi"/>
          <w:color w:val="000000"/>
        </w:rPr>
        <w:t>W</w:t>
      </w:r>
      <w:r w:rsidR="00345B0F" w:rsidRPr="00B74333">
        <w:rPr>
          <w:rFonts w:cstheme="minorHAnsi"/>
          <w:color w:val="000000"/>
        </w:rPr>
        <w:t>W</w:t>
      </w:r>
      <w:r w:rsidRPr="00B74333">
        <w:rPr>
          <w:rFonts w:cstheme="minorHAnsi"/>
          <w:color w:val="000000"/>
        </w:rPr>
        <w:t xml:space="preserve">’s Users </w:t>
      </w:r>
      <w:proofErr w:type="gramStart"/>
      <w:r w:rsidRPr="00B74333">
        <w:rPr>
          <w:rFonts w:cstheme="minorHAnsi"/>
          <w:color w:val="000000"/>
        </w:rPr>
        <w:t>Registry;</w:t>
      </w:r>
      <w:proofErr w:type="gramEnd"/>
    </w:p>
    <w:p w14:paraId="04D662F5" w14:textId="429BC26A" w:rsidR="00185833" w:rsidRPr="00B74333" w:rsidRDefault="00D849C6" w:rsidP="003D2B77">
      <w:pPr>
        <w:pStyle w:val="ListParagraph"/>
        <w:numPr>
          <w:ilvl w:val="0"/>
          <w:numId w:val="38"/>
        </w:numPr>
        <w:autoSpaceDE w:val="0"/>
        <w:autoSpaceDN w:val="0"/>
        <w:adjustRightInd w:val="0"/>
        <w:spacing w:after="0" w:line="276" w:lineRule="auto"/>
        <w:jc w:val="both"/>
        <w:rPr>
          <w:rFonts w:cstheme="minorHAnsi"/>
          <w:color w:val="000000"/>
        </w:rPr>
      </w:pPr>
      <w:r w:rsidRPr="00B74333">
        <w:rPr>
          <w:rFonts w:cstheme="minorHAnsi"/>
        </w:rPr>
        <w:t xml:space="preserve">Declaration by virtue of which the Applicant, as legally represented, declares that the Applicant has signed with DESFA the </w:t>
      </w:r>
      <w:r w:rsidR="00234BC3" w:rsidRPr="00B74333">
        <w:rPr>
          <w:rFonts w:cstheme="minorHAnsi"/>
        </w:rPr>
        <w:t xml:space="preserve">NNGS </w:t>
      </w:r>
      <w:r w:rsidRPr="00B74333">
        <w:rPr>
          <w:rFonts w:cstheme="minorHAnsi"/>
        </w:rPr>
        <w:t xml:space="preserve">Standard Transmission Agreement no </w:t>
      </w:r>
      <w:r w:rsidR="00C4410C" w:rsidRPr="00B74333">
        <w:rPr>
          <w:rFonts w:cstheme="minorHAnsi"/>
        </w:rPr>
        <w:t>[•]</w:t>
      </w:r>
      <w:r w:rsidRPr="00B74333">
        <w:rPr>
          <w:rStyle w:val="FootnoteReference"/>
          <w:rFonts w:cstheme="minorHAnsi"/>
          <w:color w:val="000000"/>
        </w:rPr>
        <w:footnoteReference w:id="17"/>
      </w:r>
      <w:r w:rsidR="00811E99" w:rsidRPr="00B74333">
        <w:rPr>
          <w:rFonts w:cstheme="minorHAnsi"/>
        </w:rPr>
        <w:t>;</w:t>
      </w:r>
    </w:p>
    <w:p w14:paraId="3FFF9985" w14:textId="410BE519" w:rsidR="003D2B77" w:rsidRPr="00B74333" w:rsidRDefault="00E926F1" w:rsidP="003D2B77">
      <w:pPr>
        <w:pStyle w:val="ListParagraph"/>
        <w:numPr>
          <w:ilvl w:val="0"/>
          <w:numId w:val="38"/>
        </w:numPr>
        <w:autoSpaceDE w:val="0"/>
        <w:autoSpaceDN w:val="0"/>
        <w:adjustRightInd w:val="0"/>
        <w:spacing w:after="0" w:line="276" w:lineRule="auto"/>
        <w:jc w:val="both"/>
        <w:rPr>
          <w:rFonts w:cstheme="minorHAnsi"/>
          <w:color w:val="000000"/>
        </w:rPr>
      </w:pPr>
      <w:r w:rsidRPr="00B74333">
        <w:rPr>
          <w:rFonts w:cstheme="minorHAnsi"/>
        </w:rPr>
        <w:lastRenderedPageBreak/>
        <w:t xml:space="preserve">i) </w:t>
      </w:r>
      <w:r w:rsidR="005101D4" w:rsidRPr="00B74333">
        <w:rPr>
          <w:rFonts w:cstheme="minorHAnsi"/>
        </w:rPr>
        <w:t>Declar</w:t>
      </w:r>
      <w:r w:rsidR="00371818" w:rsidRPr="00B74333">
        <w:rPr>
          <w:rFonts w:cstheme="minorHAnsi"/>
        </w:rPr>
        <w:t>ation</w:t>
      </w:r>
      <w:r w:rsidR="005101D4" w:rsidRPr="00B74333">
        <w:rPr>
          <w:rFonts w:cstheme="minorHAnsi"/>
        </w:rPr>
        <w:t xml:space="preserve"> </w:t>
      </w:r>
      <w:r w:rsidR="00D849C6" w:rsidRPr="00B74333">
        <w:rPr>
          <w:rFonts w:cstheme="minorHAnsi"/>
        </w:rPr>
        <w:t xml:space="preserve">that the legalization documents listed in </w:t>
      </w:r>
      <w:r w:rsidR="00EC0BBF" w:rsidRPr="00B74333">
        <w:rPr>
          <w:rFonts w:cstheme="minorHAnsi"/>
        </w:rPr>
        <w:t>a</w:t>
      </w:r>
      <w:r w:rsidR="00D849C6" w:rsidRPr="00B74333">
        <w:rPr>
          <w:rFonts w:cstheme="minorHAnsi"/>
        </w:rPr>
        <w:t xml:space="preserve">nnex </w:t>
      </w:r>
      <w:r w:rsidR="00E94C11" w:rsidRPr="00B74333">
        <w:rPr>
          <w:rFonts w:cstheme="minorHAnsi"/>
        </w:rPr>
        <w:t>1A</w:t>
      </w:r>
      <w:r w:rsidR="00D849C6" w:rsidRPr="00B74333">
        <w:rPr>
          <w:rFonts w:cstheme="minorHAnsi"/>
        </w:rPr>
        <w:t xml:space="preserve"> of said </w:t>
      </w:r>
      <w:r w:rsidR="00234BC3" w:rsidRPr="00B74333">
        <w:rPr>
          <w:rFonts w:cstheme="minorHAnsi"/>
        </w:rPr>
        <w:t xml:space="preserve">NNGS </w:t>
      </w:r>
      <w:r w:rsidR="003E4391" w:rsidRPr="00B74333">
        <w:rPr>
          <w:rFonts w:cstheme="minorHAnsi"/>
        </w:rPr>
        <w:t xml:space="preserve">Standard </w:t>
      </w:r>
      <w:r w:rsidR="00645B9C" w:rsidRPr="00B74333">
        <w:rPr>
          <w:rFonts w:cstheme="minorHAnsi"/>
        </w:rPr>
        <w:t xml:space="preserve">Transmission </w:t>
      </w:r>
      <w:r w:rsidR="00D849C6" w:rsidRPr="00B74333">
        <w:rPr>
          <w:rFonts w:cstheme="minorHAnsi"/>
        </w:rPr>
        <w:t>Agreement</w:t>
      </w:r>
      <w:r w:rsidR="00371818" w:rsidRPr="00B74333">
        <w:rPr>
          <w:rFonts w:cstheme="minorHAnsi"/>
        </w:rPr>
        <w:t>,</w:t>
      </w:r>
      <w:r w:rsidR="00D849C6" w:rsidRPr="00B74333">
        <w:rPr>
          <w:rFonts w:cstheme="minorHAnsi"/>
        </w:rPr>
        <w:t xml:space="preserve"> as submitted by the Applicant in this regard</w:t>
      </w:r>
      <w:r w:rsidR="00371818" w:rsidRPr="00B74333">
        <w:rPr>
          <w:rFonts w:cstheme="minorHAnsi"/>
        </w:rPr>
        <w:t>,</w:t>
      </w:r>
      <w:r w:rsidR="00D849C6" w:rsidRPr="00B74333">
        <w:rPr>
          <w:rFonts w:cstheme="minorHAnsi"/>
        </w:rPr>
        <w:t xml:space="preserve"> haven’t been amended, revoked and are still valid as per Annex </w:t>
      </w:r>
      <w:r w:rsidR="00A531F6" w:rsidRPr="00B74333">
        <w:rPr>
          <w:rFonts w:cstheme="minorHAnsi"/>
        </w:rPr>
        <w:t>II</w:t>
      </w:r>
      <w:r w:rsidR="002445CC" w:rsidRPr="00B74333">
        <w:rPr>
          <w:rFonts w:cstheme="minorHAnsi"/>
        </w:rPr>
        <w:t xml:space="preserve"> </w:t>
      </w:r>
      <w:r w:rsidR="002445CC" w:rsidRPr="00B74333">
        <w:rPr>
          <w:rFonts w:cstheme="minorHAnsi"/>
          <w:color w:val="000000"/>
        </w:rPr>
        <w:t>(</w:t>
      </w:r>
      <w:r w:rsidR="00223FFF" w:rsidRPr="00B74333">
        <w:rPr>
          <w:rFonts w:cstheme="minorHAnsi"/>
          <w:color w:val="000000"/>
        </w:rPr>
        <w:t>paragraph</w:t>
      </w:r>
      <w:r w:rsidR="002445CC" w:rsidRPr="00B74333">
        <w:rPr>
          <w:rFonts w:cstheme="minorHAnsi"/>
          <w:color w:val="000000"/>
        </w:rPr>
        <w:t xml:space="preserve"> A)</w:t>
      </w:r>
    </w:p>
    <w:p w14:paraId="3C9008C6" w14:textId="6DFEC992" w:rsidR="00E836CA" w:rsidRPr="00B74333" w:rsidRDefault="00E836CA">
      <w:pPr>
        <w:pStyle w:val="ListParagraph"/>
        <w:autoSpaceDE w:val="0"/>
        <w:autoSpaceDN w:val="0"/>
        <w:adjustRightInd w:val="0"/>
        <w:spacing w:after="0" w:line="276" w:lineRule="auto"/>
        <w:jc w:val="both"/>
        <w:rPr>
          <w:rFonts w:cstheme="minorHAnsi"/>
          <w:color w:val="000000"/>
        </w:rPr>
      </w:pPr>
      <w:r w:rsidRPr="00B74333">
        <w:rPr>
          <w:rFonts w:cstheme="minorHAnsi"/>
          <w:color w:val="000000"/>
        </w:rPr>
        <w:t>OR</w:t>
      </w:r>
    </w:p>
    <w:p w14:paraId="4D4CA769" w14:textId="1D8DE4A2" w:rsidR="003D2B77" w:rsidRPr="00B74333" w:rsidRDefault="00E836CA" w:rsidP="001A64A1">
      <w:pPr>
        <w:pStyle w:val="ListParagraph"/>
        <w:autoSpaceDE w:val="0"/>
        <w:autoSpaceDN w:val="0"/>
        <w:adjustRightInd w:val="0"/>
        <w:spacing w:after="0" w:line="276" w:lineRule="auto"/>
        <w:jc w:val="both"/>
        <w:rPr>
          <w:rFonts w:cstheme="minorHAnsi"/>
          <w:color w:val="000000"/>
        </w:rPr>
      </w:pPr>
      <w:r w:rsidRPr="00B74333">
        <w:rPr>
          <w:rFonts w:cstheme="minorHAnsi"/>
          <w:color w:val="000000"/>
        </w:rPr>
        <w:t>ii)</w:t>
      </w:r>
      <w:r w:rsidR="000A0E60" w:rsidRPr="00B74333">
        <w:rPr>
          <w:rFonts w:cstheme="minorHAnsi"/>
          <w:color w:val="000000"/>
        </w:rPr>
        <w:t xml:space="preserve"> </w:t>
      </w:r>
      <w:r w:rsidR="005101D4" w:rsidRPr="00B74333">
        <w:rPr>
          <w:rFonts w:cstheme="minorHAnsi"/>
          <w:color w:val="000000"/>
        </w:rPr>
        <w:t>I</w:t>
      </w:r>
      <w:r w:rsidR="003D2B77" w:rsidRPr="00B74333">
        <w:rPr>
          <w:rFonts w:cstheme="minorHAnsi"/>
          <w:color w:val="000000"/>
        </w:rPr>
        <w:t xml:space="preserve">n case one or more of the documents submitted in the context of </w:t>
      </w:r>
      <w:r w:rsidR="003E4391" w:rsidRPr="00B74333">
        <w:rPr>
          <w:rFonts w:cstheme="minorHAnsi"/>
        </w:rPr>
        <w:t xml:space="preserve">said </w:t>
      </w:r>
      <w:r w:rsidR="00C83602" w:rsidRPr="00B74333">
        <w:rPr>
          <w:rFonts w:cstheme="minorHAnsi"/>
        </w:rPr>
        <w:t xml:space="preserve">NNGS </w:t>
      </w:r>
      <w:r w:rsidR="003D2B77" w:rsidRPr="00B74333">
        <w:rPr>
          <w:rFonts w:cstheme="minorHAnsi"/>
          <w:color w:val="000000"/>
        </w:rPr>
        <w:t>Standard  Transmission Agreement have been amended, revoked or are no longer valid, as per Annex II (</w:t>
      </w:r>
      <w:r w:rsidR="00223FFF" w:rsidRPr="00B74333">
        <w:rPr>
          <w:rFonts w:cstheme="minorHAnsi"/>
          <w:color w:val="000000"/>
        </w:rPr>
        <w:t>paragraph</w:t>
      </w:r>
      <w:r w:rsidR="003D2B77" w:rsidRPr="00B74333">
        <w:rPr>
          <w:rFonts w:cstheme="minorHAnsi"/>
          <w:color w:val="000000"/>
        </w:rPr>
        <w:t xml:space="preserve"> A), </w:t>
      </w:r>
      <w:r w:rsidR="00724161" w:rsidRPr="00B74333">
        <w:rPr>
          <w:rFonts w:cstheme="minorHAnsi"/>
          <w:color w:val="000000"/>
        </w:rPr>
        <w:t xml:space="preserve">submits </w:t>
      </w:r>
      <w:r w:rsidR="003D2B77" w:rsidRPr="00B74333">
        <w:rPr>
          <w:rFonts w:cstheme="minorHAnsi"/>
          <w:color w:val="000000"/>
        </w:rPr>
        <w:t>the updated/new documents, namely [</w:t>
      </w:r>
      <w:r w:rsidR="002F1930" w:rsidRPr="00B74333">
        <w:rPr>
          <w:rFonts w:cstheme="minorHAnsi"/>
        </w:rPr>
        <w:t>•</w:t>
      </w:r>
      <w:r w:rsidR="003D2B77" w:rsidRPr="00B74333">
        <w:rPr>
          <w:rFonts w:cstheme="minorHAnsi"/>
          <w:color w:val="000000"/>
        </w:rPr>
        <w:t>]</w:t>
      </w:r>
      <w:r w:rsidR="003D2B77" w:rsidRPr="00B74333">
        <w:rPr>
          <w:rStyle w:val="FootnoteReference"/>
          <w:rFonts w:cstheme="minorHAnsi"/>
          <w:color w:val="000000"/>
        </w:rPr>
        <w:footnoteReference w:id="18"/>
      </w:r>
      <w:r w:rsidR="00C55876" w:rsidRPr="00B74333">
        <w:rPr>
          <w:rFonts w:cstheme="minorHAnsi"/>
        </w:rPr>
        <w:t xml:space="preserve"> </w:t>
      </w:r>
      <w:r w:rsidR="00A26938" w:rsidRPr="00B74333">
        <w:rPr>
          <w:rFonts w:cstheme="minorHAnsi"/>
        </w:rPr>
        <w:t xml:space="preserve">and </w:t>
      </w:r>
      <w:r w:rsidR="00A26938" w:rsidRPr="00B74333">
        <w:rPr>
          <w:rFonts w:cstheme="minorHAnsi"/>
          <w:color w:val="000000"/>
        </w:rPr>
        <w:t xml:space="preserve">declares </w:t>
      </w:r>
      <w:r w:rsidR="00C55876" w:rsidRPr="00B74333">
        <w:rPr>
          <w:rFonts w:cstheme="minorHAnsi"/>
          <w:color w:val="000000"/>
        </w:rPr>
        <w:t xml:space="preserve">that the rest of the </w:t>
      </w:r>
      <w:r w:rsidR="00796550" w:rsidRPr="00B74333">
        <w:rPr>
          <w:rFonts w:cstheme="minorHAnsi"/>
        </w:rPr>
        <w:t xml:space="preserve">legalization </w:t>
      </w:r>
      <w:r w:rsidR="00C55876" w:rsidRPr="00B74333">
        <w:rPr>
          <w:rFonts w:cstheme="minorHAnsi"/>
          <w:color w:val="000000"/>
        </w:rPr>
        <w:t xml:space="preserve">documents </w:t>
      </w:r>
      <w:r w:rsidR="00796550" w:rsidRPr="00B74333">
        <w:rPr>
          <w:rFonts w:cstheme="minorHAnsi"/>
        </w:rPr>
        <w:t xml:space="preserve">listed in annex 1A of said Agreement </w:t>
      </w:r>
      <w:r w:rsidR="00C55876" w:rsidRPr="00B74333">
        <w:rPr>
          <w:rFonts w:cstheme="minorHAnsi"/>
          <w:color w:val="000000"/>
        </w:rPr>
        <w:t xml:space="preserve">already submitted </w:t>
      </w:r>
      <w:r w:rsidR="00E25B33" w:rsidRPr="00B74333">
        <w:rPr>
          <w:rFonts w:cstheme="minorHAnsi"/>
        </w:rPr>
        <w:t>by the Applicant in this regard haven’t been amended, revoked and are still valid</w:t>
      </w:r>
      <w:r w:rsidR="000A0E60" w:rsidRPr="00B74333">
        <w:rPr>
          <w:rFonts w:cstheme="minorHAnsi"/>
        </w:rPr>
        <w:t xml:space="preserve"> as per Annex II</w:t>
      </w:r>
      <w:r w:rsidR="002414CB" w:rsidRPr="00B74333">
        <w:rPr>
          <w:rFonts w:cstheme="minorHAnsi"/>
        </w:rPr>
        <w:t xml:space="preserve"> </w:t>
      </w:r>
      <w:r w:rsidR="002414CB" w:rsidRPr="00B74333">
        <w:rPr>
          <w:rFonts w:cstheme="minorHAnsi"/>
          <w:color w:val="000000"/>
        </w:rPr>
        <w:t>(</w:t>
      </w:r>
      <w:r w:rsidR="00223FFF" w:rsidRPr="00B74333">
        <w:rPr>
          <w:rFonts w:cstheme="minorHAnsi"/>
          <w:color w:val="000000"/>
        </w:rPr>
        <w:t>paragraph</w:t>
      </w:r>
      <w:r w:rsidR="002414CB" w:rsidRPr="00B74333">
        <w:rPr>
          <w:rFonts w:cstheme="minorHAnsi"/>
          <w:color w:val="000000"/>
        </w:rPr>
        <w:t xml:space="preserve"> A);</w:t>
      </w:r>
    </w:p>
    <w:p w14:paraId="11486D94" w14:textId="6788C9D5" w:rsidR="00824288" w:rsidRPr="00B74333" w:rsidRDefault="00824288" w:rsidP="005C6D74">
      <w:pPr>
        <w:pStyle w:val="ListParagraph"/>
        <w:numPr>
          <w:ilvl w:val="0"/>
          <w:numId w:val="38"/>
        </w:numPr>
        <w:autoSpaceDE w:val="0"/>
        <w:autoSpaceDN w:val="0"/>
        <w:adjustRightInd w:val="0"/>
        <w:spacing w:after="0" w:line="276" w:lineRule="auto"/>
        <w:jc w:val="both"/>
        <w:rPr>
          <w:rFonts w:cstheme="minorHAnsi"/>
          <w:color w:val="000000"/>
        </w:rPr>
      </w:pPr>
      <w:r w:rsidRPr="00B74333">
        <w:rPr>
          <w:rFonts w:cstheme="minorHAnsi"/>
          <w:color w:val="000000"/>
        </w:rPr>
        <w:t>The legally binding document for the participation to this Binding Bidding Phase as per Annex II (</w:t>
      </w:r>
      <w:r w:rsidR="00223FFF" w:rsidRPr="00B74333">
        <w:rPr>
          <w:rFonts w:cstheme="minorHAnsi"/>
          <w:color w:val="000000"/>
        </w:rPr>
        <w:t>paragraph</w:t>
      </w:r>
      <w:r w:rsidRPr="00B74333">
        <w:rPr>
          <w:rFonts w:cstheme="minorHAnsi"/>
          <w:color w:val="000000"/>
        </w:rPr>
        <w:t xml:space="preserve"> B), namely </w:t>
      </w:r>
      <w:r w:rsidR="00C4410C" w:rsidRPr="00B74333">
        <w:rPr>
          <w:rFonts w:cstheme="minorHAnsi"/>
        </w:rPr>
        <w:t>[•]</w:t>
      </w:r>
      <w:r w:rsidR="00FE3DBE" w:rsidRPr="00B74333">
        <w:rPr>
          <w:rStyle w:val="FootnoteReference"/>
          <w:rFonts w:cstheme="minorHAnsi"/>
          <w:color w:val="000000"/>
        </w:rPr>
        <w:footnoteReference w:id="19"/>
      </w:r>
      <w:r w:rsidR="005C6D74" w:rsidRPr="00B74333">
        <w:rPr>
          <w:rFonts w:cstheme="minorHAnsi"/>
          <w:color w:val="000000"/>
        </w:rPr>
        <w:t>;</w:t>
      </w:r>
    </w:p>
    <w:p w14:paraId="16E97D07" w14:textId="05B3D456" w:rsidR="005C6D74" w:rsidRPr="00B74333" w:rsidRDefault="005B600A" w:rsidP="005C6D74">
      <w:pPr>
        <w:pStyle w:val="ListParagraph"/>
        <w:numPr>
          <w:ilvl w:val="0"/>
          <w:numId w:val="38"/>
        </w:numPr>
        <w:autoSpaceDE w:val="0"/>
        <w:autoSpaceDN w:val="0"/>
        <w:adjustRightInd w:val="0"/>
        <w:spacing w:after="0" w:line="276" w:lineRule="auto"/>
        <w:jc w:val="both"/>
        <w:rPr>
          <w:rFonts w:cstheme="minorHAnsi"/>
          <w:color w:val="000000"/>
        </w:rPr>
      </w:pPr>
      <w:r w:rsidRPr="00B74333">
        <w:rPr>
          <w:rFonts w:cstheme="minorHAnsi"/>
          <w:color w:val="000000"/>
        </w:rPr>
        <w:t>The documents required in Annex II (</w:t>
      </w:r>
      <w:r w:rsidR="00223FFF" w:rsidRPr="00B74333">
        <w:rPr>
          <w:rFonts w:cstheme="minorHAnsi"/>
          <w:color w:val="000000"/>
        </w:rPr>
        <w:t>paragraph</w:t>
      </w:r>
      <w:r w:rsidRPr="00B74333">
        <w:rPr>
          <w:rFonts w:cstheme="minorHAnsi"/>
          <w:color w:val="000000"/>
        </w:rPr>
        <w:t xml:space="preserve"> C), namely extract of </w:t>
      </w:r>
      <w:r w:rsidR="00C4410C" w:rsidRPr="00B74333">
        <w:rPr>
          <w:rFonts w:cstheme="minorHAnsi"/>
        </w:rPr>
        <w:t>[•]</w:t>
      </w:r>
      <w:r w:rsidR="006A51B0" w:rsidRPr="00B74333">
        <w:rPr>
          <w:rStyle w:val="FootnoteReference"/>
          <w:rFonts w:cstheme="minorHAnsi"/>
          <w:color w:val="000000"/>
        </w:rPr>
        <w:footnoteReference w:id="20"/>
      </w:r>
      <w:r w:rsidR="005C6D74" w:rsidRPr="00B74333">
        <w:rPr>
          <w:rFonts w:cstheme="minorHAnsi"/>
          <w:color w:val="000000"/>
        </w:rPr>
        <w:t>;</w:t>
      </w:r>
    </w:p>
    <w:p w14:paraId="27E8D3B1" w14:textId="78D9E2E2" w:rsidR="005C6D74" w:rsidRPr="00B74333" w:rsidRDefault="005C6D74" w:rsidP="005C6D74">
      <w:pPr>
        <w:pStyle w:val="ListParagraph"/>
        <w:numPr>
          <w:ilvl w:val="0"/>
          <w:numId w:val="38"/>
        </w:numPr>
        <w:jc w:val="both"/>
        <w:rPr>
          <w:rFonts w:cstheme="minorHAnsi"/>
          <w:color w:val="000000"/>
        </w:rPr>
      </w:pPr>
      <w:r w:rsidRPr="00B74333">
        <w:rPr>
          <w:rFonts w:cstheme="minorHAnsi"/>
          <w:color w:val="000000"/>
        </w:rPr>
        <w:t xml:space="preserve">Declaration by virtue of which the Applicant, as legally represented, declares that all submitted data and information with this Registration Form and the documents accompanied it, including the information hereinabove, are true and </w:t>
      </w:r>
      <w:proofErr w:type="gramStart"/>
      <w:r w:rsidRPr="00B74333">
        <w:rPr>
          <w:rFonts w:cstheme="minorHAnsi"/>
          <w:color w:val="000000"/>
        </w:rPr>
        <w:t>genuine</w:t>
      </w:r>
      <w:r w:rsidR="00C14C06" w:rsidRPr="00B74333">
        <w:rPr>
          <w:rFonts w:cstheme="minorHAnsi"/>
          <w:color w:val="000000"/>
        </w:rPr>
        <w:t>;</w:t>
      </w:r>
      <w:proofErr w:type="gramEnd"/>
    </w:p>
    <w:p w14:paraId="7136A620" w14:textId="5FD64033" w:rsidR="00C14C06" w:rsidRPr="00B74333" w:rsidRDefault="00C14C06" w:rsidP="001A64A1">
      <w:pPr>
        <w:pStyle w:val="ListParagraph"/>
        <w:numPr>
          <w:ilvl w:val="0"/>
          <w:numId w:val="38"/>
        </w:numPr>
        <w:jc w:val="both"/>
        <w:rPr>
          <w:rFonts w:cstheme="minorHAnsi"/>
          <w:color w:val="000000"/>
        </w:rPr>
      </w:pPr>
      <w:r w:rsidRPr="00B74333">
        <w:rPr>
          <w:rFonts w:cstheme="minorHAnsi"/>
          <w:color w:val="000000"/>
        </w:rPr>
        <w:t xml:space="preserve">A signed Non-Disclosure Agreement in the form of Annex </w:t>
      </w:r>
      <w:r w:rsidR="0084102F" w:rsidRPr="00B74333">
        <w:rPr>
          <w:rFonts w:cstheme="minorHAnsi"/>
          <w:color w:val="000000"/>
        </w:rPr>
        <w:t>III</w:t>
      </w:r>
      <w:r w:rsidRPr="00B74333">
        <w:rPr>
          <w:rFonts w:cstheme="minorHAnsi"/>
          <w:color w:val="000000"/>
        </w:rPr>
        <w:t>, in two copies.</w:t>
      </w:r>
    </w:p>
    <w:p w14:paraId="0434F71E" w14:textId="29CA43DC" w:rsidR="0050178C" w:rsidRPr="00B74333" w:rsidRDefault="0050178C" w:rsidP="001A64A1">
      <w:pPr>
        <w:pStyle w:val="ListParagraph"/>
        <w:autoSpaceDE w:val="0"/>
        <w:autoSpaceDN w:val="0"/>
        <w:adjustRightInd w:val="0"/>
        <w:spacing w:after="0" w:line="276" w:lineRule="auto"/>
        <w:jc w:val="both"/>
        <w:rPr>
          <w:rFonts w:cstheme="minorHAnsi"/>
          <w:color w:val="000000"/>
        </w:rPr>
      </w:pPr>
    </w:p>
    <w:p w14:paraId="2397419F" w14:textId="141DF141" w:rsidR="00C97F12" w:rsidRPr="00B74333" w:rsidRDefault="001734DA" w:rsidP="00C97F12">
      <w:pPr>
        <w:pStyle w:val="ListParagraph"/>
        <w:numPr>
          <w:ilvl w:val="0"/>
          <w:numId w:val="35"/>
        </w:numPr>
        <w:autoSpaceDE w:val="0"/>
        <w:autoSpaceDN w:val="0"/>
        <w:adjustRightInd w:val="0"/>
        <w:spacing w:after="0" w:line="276" w:lineRule="auto"/>
        <w:jc w:val="both"/>
        <w:rPr>
          <w:rFonts w:cstheme="minorHAnsi"/>
        </w:rPr>
      </w:pPr>
      <w:r w:rsidRPr="00B74333">
        <w:rPr>
          <w:rFonts w:cstheme="minorHAnsi"/>
        </w:rPr>
        <w:t>Accepts and recognizes that all the communication about this procedure must be sent to the address mentioned here above</w:t>
      </w:r>
      <w:r w:rsidR="00DD2B54" w:rsidRPr="00B74333">
        <w:rPr>
          <w:rFonts w:cstheme="minorHAnsi"/>
        </w:rPr>
        <w:t>, and a</w:t>
      </w:r>
      <w:r w:rsidR="00C97F12" w:rsidRPr="00B74333">
        <w:rPr>
          <w:rFonts w:cstheme="minorHAnsi"/>
        </w:rPr>
        <w:t xml:space="preserve">ppoints </w:t>
      </w:r>
      <w:r w:rsidR="002E0022" w:rsidRPr="00B74333">
        <w:rPr>
          <w:rFonts w:cstheme="minorHAnsi"/>
        </w:rPr>
        <w:t xml:space="preserve">as </w:t>
      </w:r>
      <w:r w:rsidR="00FE77D2" w:rsidRPr="00B74333">
        <w:rPr>
          <w:rFonts w:cstheme="minorHAnsi"/>
        </w:rPr>
        <w:t>representative</w:t>
      </w:r>
      <w:r w:rsidR="00DD2B54" w:rsidRPr="00B74333">
        <w:rPr>
          <w:rFonts w:cstheme="minorHAnsi"/>
        </w:rPr>
        <w:t xml:space="preserve"> of the Company</w:t>
      </w:r>
      <w:r w:rsidR="00FE77D2" w:rsidRPr="00B74333">
        <w:rPr>
          <w:rFonts w:cstheme="minorHAnsi"/>
        </w:rPr>
        <w:t xml:space="preserve"> who can be contacted regarding the </w:t>
      </w:r>
      <w:r w:rsidR="004A7082" w:rsidRPr="00B74333">
        <w:rPr>
          <w:rFonts w:cstheme="minorHAnsi"/>
        </w:rPr>
        <w:t>registration:</w:t>
      </w:r>
    </w:p>
    <w:p w14:paraId="0FE48E3B" w14:textId="77777777" w:rsidR="0050178C" w:rsidRPr="00B74333" w:rsidRDefault="0050178C" w:rsidP="001A64A1">
      <w:pPr>
        <w:pStyle w:val="ListParagraph"/>
        <w:autoSpaceDE w:val="0"/>
        <w:autoSpaceDN w:val="0"/>
        <w:adjustRightInd w:val="0"/>
        <w:spacing w:after="0" w:line="276" w:lineRule="auto"/>
        <w:ind w:left="360"/>
        <w:jc w:val="both"/>
        <w:rPr>
          <w:rFonts w:cstheme="minorHAnsi"/>
        </w:rPr>
      </w:pPr>
    </w:p>
    <w:tbl>
      <w:tblPr>
        <w:tblW w:w="8787" w:type="dxa"/>
        <w:tblInd w:w="279" w:type="dxa"/>
        <w:tblCellMar>
          <w:left w:w="70" w:type="dxa"/>
          <w:right w:w="70" w:type="dxa"/>
        </w:tblCellMar>
        <w:tblLook w:val="04A0" w:firstRow="1" w:lastRow="0" w:firstColumn="1" w:lastColumn="0" w:noHBand="0" w:noVBand="1"/>
      </w:tblPr>
      <w:tblGrid>
        <w:gridCol w:w="8787"/>
      </w:tblGrid>
      <w:tr w:rsidR="0050178C" w:rsidRPr="00B74333" w14:paraId="79646F3F" w14:textId="77777777">
        <w:trPr>
          <w:trHeight w:val="402"/>
        </w:trPr>
        <w:tc>
          <w:tcPr>
            <w:tcW w:w="8787" w:type="dxa"/>
            <w:tcBorders>
              <w:top w:val="single" w:sz="4" w:space="0" w:color="808080"/>
              <w:left w:val="single" w:sz="4" w:space="0" w:color="808080"/>
              <w:bottom w:val="single" w:sz="4" w:space="0" w:color="808080"/>
              <w:right w:val="single" w:sz="4" w:space="0" w:color="808080"/>
            </w:tcBorders>
            <w:shd w:val="clear" w:color="000000" w:fill="1F497D"/>
            <w:vAlign w:val="center"/>
          </w:tcPr>
          <w:p w14:paraId="5487D0DC" w14:textId="77777777" w:rsidR="0050178C" w:rsidRPr="00B74333" w:rsidRDefault="0050178C">
            <w:pPr>
              <w:spacing w:after="0" w:line="240" w:lineRule="auto"/>
              <w:rPr>
                <w:rFonts w:eastAsia="Times New Roman" w:cstheme="minorHAnsi"/>
                <w:b/>
                <w:bCs/>
                <w:color w:val="FFFFFF"/>
                <w:sz w:val="20"/>
                <w:szCs w:val="20"/>
                <w:lang w:eastAsia="it-IT"/>
              </w:rPr>
            </w:pPr>
            <w:r w:rsidRPr="00B74333">
              <w:rPr>
                <w:rFonts w:eastAsia="Times New Roman" w:cstheme="minorHAnsi"/>
                <w:b/>
                <w:bCs/>
                <w:color w:val="FFFFFF"/>
                <w:sz w:val="20"/>
                <w:szCs w:val="20"/>
                <w:lang w:eastAsia="it-IT"/>
              </w:rPr>
              <w:t>CONTACT PERSON</w:t>
            </w:r>
          </w:p>
        </w:tc>
      </w:tr>
      <w:tr w:rsidR="0050178C" w:rsidRPr="00B74333" w14:paraId="0AD1BA74"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1D0CB03C" w14:textId="177E519E" w:rsidR="0050178C" w:rsidRPr="00B74333" w:rsidRDefault="0050178C">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SURNAME:</w:t>
            </w:r>
          </w:p>
        </w:tc>
      </w:tr>
      <w:tr w:rsidR="0050178C" w:rsidRPr="00B74333" w14:paraId="0621D61A"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2AEAA0A6" w14:textId="640DE699" w:rsidR="0050178C" w:rsidRPr="00B74333" w:rsidRDefault="0050178C">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NAME:</w:t>
            </w:r>
          </w:p>
        </w:tc>
      </w:tr>
      <w:tr w:rsidR="0050178C" w:rsidRPr="00B74333" w14:paraId="5C36CED4"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5B1F5618" w14:textId="04547160" w:rsidR="0050178C" w:rsidRPr="00B74333" w:rsidRDefault="0050178C">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PHONE/MOBILE:</w:t>
            </w:r>
          </w:p>
        </w:tc>
      </w:tr>
      <w:tr w:rsidR="0050178C" w:rsidRPr="00B74333" w14:paraId="29EEDBFB"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3DA97B60" w14:textId="368E11AB" w:rsidR="0050178C" w:rsidRPr="00B74333" w:rsidRDefault="0050178C">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EMAIL ADDRESS:</w:t>
            </w:r>
          </w:p>
        </w:tc>
      </w:tr>
    </w:tbl>
    <w:p w14:paraId="001EB41A" w14:textId="5CE8DD27" w:rsidR="00D849C6" w:rsidRPr="00B74333" w:rsidRDefault="00D849C6" w:rsidP="00D849C6">
      <w:pPr>
        <w:autoSpaceDE w:val="0"/>
        <w:autoSpaceDN w:val="0"/>
        <w:adjustRightInd w:val="0"/>
        <w:spacing w:after="0" w:line="276" w:lineRule="auto"/>
        <w:rPr>
          <w:rFonts w:cstheme="minorHAnsi"/>
          <w:color w:val="000000"/>
        </w:rPr>
      </w:pPr>
    </w:p>
    <w:p w14:paraId="3D500DB6" w14:textId="77777777" w:rsidR="00E95AB1" w:rsidRPr="00B74333" w:rsidRDefault="00E95AB1" w:rsidP="00407122">
      <w:pPr>
        <w:rPr>
          <w:rFonts w:cstheme="minorHAnsi"/>
        </w:rPr>
      </w:pPr>
    </w:p>
    <w:p w14:paraId="6DDB6E0F" w14:textId="3EEDA141" w:rsidR="00407122" w:rsidRPr="00B74333" w:rsidRDefault="00407122" w:rsidP="00407122">
      <w:pPr>
        <w:rPr>
          <w:rFonts w:cstheme="minorHAnsi"/>
        </w:rPr>
      </w:pPr>
      <w:r w:rsidRPr="00B74333">
        <w:rPr>
          <w:rFonts w:cstheme="minorHAnsi"/>
        </w:rPr>
        <w:t xml:space="preserve">[Place / date] </w:t>
      </w:r>
      <w:r w:rsidRPr="00B74333">
        <w:rPr>
          <w:rFonts w:cstheme="minorHAnsi"/>
        </w:rPr>
        <w:tab/>
      </w:r>
      <w:r w:rsidRPr="00B74333">
        <w:rPr>
          <w:rFonts w:cstheme="minorHAnsi"/>
        </w:rPr>
        <w:tab/>
      </w:r>
      <w:r w:rsidRPr="00B74333">
        <w:rPr>
          <w:rFonts w:cstheme="minorHAnsi"/>
        </w:rPr>
        <w:tab/>
      </w:r>
      <w:r w:rsidRPr="00B74333">
        <w:rPr>
          <w:rFonts w:cstheme="minorHAnsi"/>
        </w:rPr>
        <w:tab/>
      </w:r>
      <w:r w:rsidRPr="00B74333">
        <w:rPr>
          <w:rFonts w:cstheme="minorHAnsi"/>
        </w:rPr>
        <w:tab/>
      </w:r>
      <w:r w:rsidRPr="00B74333">
        <w:rPr>
          <w:rFonts w:cstheme="minorHAnsi"/>
        </w:rPr>
        <w:tab/>
        <w:t xml:space="preserve">        </w:t>
      </w:r>
      <w:proofErr w:type="gramStart"/>
      <w:r w:rsidRPr="00B74333">
        <w:rPr>
          <w:rFonts w:cstheme="minorHAnsi"/>
        </w:rPr>
        <w:t xml:space="preserve">   [</w:t>
      </w:r>
      <w:proofErr w:type="gramEnd"/>
      <w:r w:rsidRPr="00B74333">
        <w:rPr>
          <w:rFonts w:cstheme="minorHAnsi"/>
        </w:rPr>
        <w:t>Stamp of the Company and Signature]</w:t>
      </w:r>
    </w:p>
    <w:p w14:paraId="20B9A209" w14:textId="77777777" w:rsidR="00D849C6" w:rsidRPr="00B74333" w:rsidRDefault="00D849C6" w:rsidP="00D849C6">
      <w:pPr>
        <w:autoSpaceDE w:val="0"/>
        <w:autoSpaceDN w:val="0"/>
        <w:adjustRightInd w:val="0"/>
        <w:spacing w:after="0" w:line="276" w:lineRule="auto"/>
        <w:ind w:left="4253"/>
        <w:rPr>
          <w:rFonts w:cstheme="minorHAnsi"/>
          <w:color w:val="000000"/>
        </w:rPr>
      </w:pPr>
    </w:p>
    <w:p w14:paraId="1B7AD30A" w14:textId="77777777" w:rsidR="00D849C6" w:rsidRPr="00B74333" w:rsidRDefault="00D849C6">
      <w:pPr>
        <w:rPr>
          <w:rFonts w:cstheme="minorHAnsi"/>
        </w:rPr>
      </w:pPr>
      <w:r w:rsidRPr="00B74333">
        <w:rPr>
          <w:rFonts w:cstheme="minorHAnsi"/>
        </w:rPr>
        <w:br w:type="page"/>
      </w:r>
    </w:p>
    <w:p w14:paraId="171CC43C" w14:textId="43F2D78F" w:rsidR="006F2FA8" w:rsidRPr="00B74333" w:rsidRDefault="006F2FA8" w:rsidP="006F2FA8">
      <w:pPr>
        <w:pStyle w:val="Heading3"/>
        <w:pBdr>
          <w:bottom w:val="single" w:sz="4" w:space="1" w:color="auto"/>
        </w:pBdr>
        <w:rPr>
          <w:sz w:val="36"/>
          <w:szCs w:val="36"/>
        </w:rPr>
      </w:pPr>
      <w:bookmarkStart w:id="70" w:name="_Toc165465567"/>
      <w:bookmarkStart w:id="71" w:name="_Toc71289538"/>
      <w:r w:rsidRPr="00B74333">
        <w:rPr>
          <w:sz w:val="36"/>
          <w:szCs w:val="36"/>
        </w:rPr>
        <w:lastRenderedPageBreak/>
        <w:t xml:space="preserve">Annex </w:t>
      </w:r>
      <w:r w:rsidR="00B32C10" w:rsidRPr="00B74333">
        <w:rPr>
          <w:sz w:val="36"/>
          <w:szCs w:val="36"/>
        </w:rPr>
        <w:t>II</w:t>
      </w:r>
      <w:r w:rsidRPr="00B74333">
        <w:rPr>
          <w:sz w:val="36"/>
          <w:szCs w:val="36"/>
        </w:rPr>
        <w:t xml:space="preserve"> </w:t>
      </w:r>
      <w:r w:rsidR="00E94C11" w:rsidRPr="00B74333">
        <w:rPr>
          <w:sz w:val="36"/>
          <w:szCs w:val="36"/>
        </w:rPr>
        <w:t xml:space="preserve">- </w:t>
      </w:r>
      <w:r w:rsidRPr="00B74333">
        <w:rPr>
          <w:sz w:val="36"/>
          <w:szCs w:val="36"/>
        </w:rPr>
        <w:t>Legalization documents submitted with the Registration Form</w:t>
      </w:r>
      <w:bookmarkEnd w:id="70"/>
      <w:r w:rsidRPr="00B74333">
        <w:rPr>
          <w:sz w:val="36"/>
          <w:szCs w:val="36"/>
        </w:rPr>
        <w:t xml:space="preserve"> </w:t>
      </w:r>
    </w:p>
    <w:p w14:paraId="45A0EEB7" w14:textId="77777777" w:rsidR="006F2FA8" w:rsidRPr="00B74333" w:rsidRDefault="006F2FA8" w:rsidP="006F2FA8">
      <w:pPr>
        <w:jc w:val="both"/>
        <w:rPr>
          <w:rFonts w:cstheme="minorHAnsi"/>
        </w:rPr>
      </w:pPr>
    </w:p>
    <w:p w14:paraId="49F2AFCE" w14:textId="33097439" w:rsidR="006F2FA8" w:rsidRPr="00B74333" w:rsidRDefault="006F2FA8" w:rsidP="006F2FA8">
      <w:pPr>
        <w:jc w:val="both"/>
        <w:rPr>
          <w:rFonts w:cstheme="minorHAnsi"/>
        </w:rPr>
      </w:pPr>
      <w:r w:rsidRPr="00B74333">
        <w:rPr>
          <w:rFonts w:cstheme="minorHAnsi"/>
        </w:rPr>
        <w:t>The Applicant is obliged to submit along with the Registration Form of Annex I</w:t>
      </w:r>
      <w:r w:rsidR="00440B8B" w:rsidRPr="00B74333">
        <w:rPr>
          <w:rFonts w:cstheme="minorHAnsi"/>
        </w:rPr>
        <w:t>, and according to the directions therein</w:t>
      </w:r>
      <w:r w:rsidRPr="00B74333">
        <w:rPr>
          <w:rFonts w:cstheme="minorHAnsi"/>
        </w:rPr>
        <w:t>, the following documents:</w:t>
      </w:r>
    </w:p>
    <w:p w14:paraId="7E4F5D0E" w14:textId="0A737DD8" w:rsidR="006F2FA8" w:rsidRPr="00B74333" w:rsidRDefault="006F2FA8" w:rsidP="006F2FA8">
      <w:pPr>
        <w:jc w:val="both"/>
        <w:rPr>
          <w:rFonts w:cstheme="minorHAnsi"/>
        </w:rPr>
      </w:pPr>
      <w:r w:rsidRPr="00B74333">
        <w:rPr>
          <w:rFonts w:cstheme="minorHAnsi"/>
          <w:b/>
        </w:rPr>
        <w:t>A.</w:t>
      </w:r>
      <w:r w:rsidRPr="00B74333">
        <w:rPr>
          <w:rFonts w:cstheme="minorHAnsi"/>
        </w:rPr>
        <w:t xml:space="preserve"> For the purposes of this Binding Phase, if one or more of the documents submitted in the context of the relevant </w:t>
      </w:r>
      <w:r w:rsidR="00AB1F35" w:rsidRPr="00B74333">
        <w:rPr>
          <w:rFonts w:cstheme="minorHAnsi"/>
        </w:rPr>
        <w:t xml:space="preserve">NNGS </w:t>
      </w:r>
      <w:r w:rsidRPr="00B74333">
        <w:rPr>
          <w:rFonts w:cstheme="minorHAnsi"/>
        </w:rPr>
        <w:t xml:space="preserve">Standard Transmission Agreement signed with DESFA have been amended, revoked or are no longer valid, the Applicant shall submit to DESFA the updated legalization documents in hardcopy or electronic </w:t>
      </w:r>
      <w:proofErr w:type="gramStart"/>
      <w:r w:rsidRPr="00B74333">
        <w:rPr>
          <w:rFonts w:cstheme="minorHAnsi"/>
        </w:rPr>
        <w:t>form, as the case may be</w:t>
      </w:r>
      <w:proofErr w:type="gramEnd"/>
      <w:r w:rsidRPr="00B74333">
        <w:rPr>
          <w:rFonts w:cstheme="minorHAnsi"/>
        </w:rPr>
        <w:t xml:space="preserve">. </w:t>
      </w:r>
      <w:r w:rsidR="00BA7FCF" w:rsidRPr="00B74333">
        <w:rPr>
          <w:rFonts w:cstheme="minorHAnsi"/>
          <w:color w:val="000000"/>
        </w:rPr>
        <w:t>When submitting the updated/new documents, the Applicant must also submit a declaration by its legal representative confirming that the rest of the documents already submitted are still in force and have not been amended or revoked.</w:t>
      </w:r>
    </w:p>
    <w:p w14:paraId="45B1DF84" w14:textId="2E19FFAE" w:rsidR="006F2FA8" w:rsidRPr="00B74333" w:rsidRDefault="006F2FA8" w:rsidP="006F2FA8">
      <w:pPr>
        <w:jc w:val="both"/>
        <w:rPr>
          <w:rFonts w:cstheme="minorHAnsi"/>
        </w:rPr>
      </w:pPr>
      <w:r w:rsidRPr="00B74333">
        <w:rPr>
          <w:rFonts w:cstheme="minorHAnsi"/>
          <w:b/>
        </w:rPr>
        <w:t>B.</w:t>
      </w:r>
      <w:r w:rsidRPr="00B74333">
        <w:rPr>
          <w:rFonts w:cstheme="minorHAnsi"/>
        </w:rPr>
        <w:t xml:space="preserve"> Unless it emerges by the legalization documents already submitted in the context of the </w:t>
      </w:r>
      <w:r w:rsidR="00AB1F35" w:rsidRPr="00B74333">
        <w:rPr>
          <w:rFonts w:cstheme="minorHAnsi"/>
        </w:rPr>
        <w:t xml:space="preserve">NNGS </w:t>
      </w:r>
      <w:r w:rsidRPr="00B74333">
        <w:rPr>
          <w:rFonts w:cstheme="minorHAnsi"/>
        </w:rPr>
        <w:t>Standard  Transmission Agreement, the legally binding documents whereby its legal representative(s) is (are) vested with the powers and authorities to act in the name and on behalf of the Applicant in order to submit the Registration Form, the Binding Bid Form, the Binding Bid Guarantee and any other documents or notices or confirmation as may be required, and to sign in the name and on behalf of the Applicant the Gas Transportation Agreement with DESFA, following the positive outcome of the Economic Viability Test, carry into effect and perform the Gas Transportation Agreement with DESFA as well as any obligations in connection with or pursuant to said agreement and deliver any other documents whatsoever.</w:t>
      </w:r>
    </w:p>
    <w:p w14:paraId="53D8A77D" w14:textId="77777777" w:rsidR="006F2FA8" w:rsidRPr="00B74333" w:rsidRDefault="006F2FA8" w:rsidP="006F2FA8">
      <w:pPr>
        <w:jc w:val="both"/>
        <w:rPr>
          <w:rFonts w:cstheme="minorHAnsi"/>
        </w:rPr>
      </w:pPr>
      <w:r w:rsidRPr="00B74333">
        <w:rPr>
          <w:rFonts w:cstheme="minorHAnsi"/>
          <w:b/>
        </w:rPr>
        <w:t>C.</w:t>
      </w:r>
      <w:r w:rsidRPr="00B74333">
        <w:rPr>
          <w:rFonts w:cstheme="minorHAnsi"/>
        </w:rPr>
        <w:t xml:space="preserve"> Extracts from Judicial records, or failing this, equivalent documents issued by competent judicial or administrative authorities in the country of origin and/or the country where the Applicant is registered, are enclosed, proving that:</w:t>
      </w:r>
    </w:p>
    <w:p w14:paraId="399E4CC3" w14:textId="77777777" w:rsidR="006F2FA8" w:rsidRPr="00B74333" w:rsidRDefault="006F2FA8" w:rsidP="006F2FA8">
      <w:pPr>
        <w:pStyle w:val="ListParagraph"/>
        <w:numPr>
          <w:ilvl w:val="0"/>
          <w:numId w:val="39"/>
        </w:numPr>
        <w:jc w:val="both"/>
        <w:rPr>
          <w:rFonts w:cstheme="minorHAnsi"/>
        </w:rPr>
      </w:pPr>
      <w:r w:rsidRPr="00B74333">
        <w:rPr>
          <w:rFonts w:cstheme="minorHAnsi"/>
        </w:rPr>
        <w:t>Participant is not bankrupt, under liquidation, bankruptcy, obligatory administration or winding up, compromise, or any other similar situation resulting from a similar procedure, as provided by National Legislation.</w:t>
      </w:r>
    </w:p>
    <w:p w14:paraId="08F3B354" w14:textId="77777777" w:rsidR="006F2FA8" w:rsidRPr="00B74333" w:rsidRDefault="006F2FA8" w:rsidP="006F2FA8">
      <w:pPr>
        <w:pStyle w:val="ListParagraph"/>
        <w:numPr>
          <w:ilvl w:val="0"/>
          <w:numId w:val="39"/>
        </w:numPr>
        <w:jc w:val="both"/>
        <w:rPr>
          <w:rFonts w:cstheme="minorHAnsi"/>
        </w:rPr>
      </w:pPr>
      <w:proofErr w:type="gramStart"/>
      <w:r w:rsidRPr="00B74333">
        <w:rPr>
          <w:rFonts w:cstheme="minorHAnsi"/>
        </w:rPr>
        <w:t>Applicant</w:t>
      </w:r>
      <w:proofErr w:type="gramEnd"/>
      <w:r w:rsidRPr="00B74333">
        <w:rPr>
          <w:rFonts w:cstheme="minorHAnsi"/>
        </w:rPr>
        <w:t xml:space="preserve"> is not the subject of proceedings for a declaration of bankruptcy, obligatory administration or winding up, compromise or any other similar situation or resulting from any other similar procedure as provided by National Legislation.</w:t>
      </w:r>
    </w:p>
    <w:p w14:paraId="083352DE" w14:textId="77777777" w:rsidR="006F2FA8" w:rsidRPr="00B74333" w:rsidRDefault="006F2FA8" w:rsidP="006F2FA8">
      <w:pPr>
        <w:jc w:val="both"/>
        <w:rPr>
          <w:rFonts w:cstheme="minorHAnsi"/>
        </w:rPr>
      </w:pPr>
      <w:r w:rsidRPr="00B74333">
        <w:rPr>
          <w:rFonts w:cstheme="minorHAnsi"/>
          <w:b/>
        </w:rPr>
        <w:t>D.</w:t>
      </w:r>
      <w:r w:rsidRPr="00B74333">
        <w:rPr>
          <w:rFonts w:cstheme="minorHAnsi"/>
        </w:rPr>
        <w:t xml:space="preserve"> All foreign documents must be submitted in an official translation, under the Greek Law, into the Greek language.</w:t>
      </w:r>
    </w:p>
    <w:p w14:paraId="33FECEB7" w14:textId="77777777" w:rsidR="006F2FA8" w:rsidRPr="00B74333" w:rsidRDefault="006F2FA8" w:rsidP="006F2FA8">
      <w:pPr>
        <w:rPr>
          <w:rFonts w:cstheme="minorHAnsi"/>
        </w:rPr>
      </w:pPr>
      <w:r w:rsidRPr="00B74333">
        <w:rPr>
          <w:rFonts w:cstheme="minorHAnsi"/>
        </w:rPr>
        <w:br w:type="page"/>
      </w:r>
    </w:p>
    <w:p w14:paraId="657D35B7" w14:textId="7108A197" w:rsidR="00312023" w:rsidRPr="00B74333" w:rsidRDefault="00312023" w:rsidP="00312023">
      <w:pPr>
        <w:pStyle w:val="Heading3"/>
        <w:pBdr>
          <w:bottom w:val="single" w:sz="4" w:space="1" w:color="auto"/>
        </w:pBdr>
        <w:rPr>
          <w:sz w:val="36"/>
          <w:szCs w:val="36"/>
        </w:rPr>
      </w:pPr>
      <w:bookmarkStart w:id="72" w:name="_Toc165465568"/>
      <w:r w:rsidRPr="00B74333">
        <w:rPr>
          <w:sz w:val="36"/>
          <w:szCs w:val="36"/>
        </w:rPr>
        <w:lastRenderedPageBreak/>
        <w:t xml:space="preserve">Annex </w:t>
      </w:r>
      <w:r w:rsidR="001C4570" w:rsidRPr="00B74333">
        <w:rPr>
          <w:sz w:val="36"/>
          <w:szCs w:val="36"/>
        </w:rPr>
        <w:t>I</w:t>
      </w:r>
      <w:r w:rsidRPr="00B74333">
        <w:rPr>
          <w:sz w:val="36"/>
          <w:szCs w:val="36"/>
        </w:rPr>
        <w:t>II - Non-Disclosure Agreement</w:t>
      </w:r>
      <w:bookmarkEnd w:id="72"/>
    </w:p>
    <w:p w14:paraId="0F829FD3" w14:textId="77777777" w:rsidR="00312023" w:rsidRPr="00B74333" w:rsidRDefault="00312023" w:rsidP="00312023">
      <w:pPr>
        <w:tabs>
          <w:tab w:val="center" w:pos="4680"/>
          <w:tab w:val="right" w:pos="9360"/>
        </w:tabs>
        <w:suppressAutoHyphens/>
        <w:spacing w:after="0" w:line="240" w:lineRule="auto"/>
        <w:rPr>
          <w:rFonts w:eastAsia="Times New Roman" w:cstheme="minorHAnsi"/>
          <w:szCs w:val="20"/>
        </w:rPr>
      </w:pPr>
    </w:p>
    <w:p w14:paraId="213A2A8F" w14:textId="77777777" w:rsidR="00312023" w:rsidRPr="00B74333" w:rsidRDefault="00312023" w:rsidP="00312023">
      <w:pPr>
        <w:tabs>
          <w:tab w:val="center" w:pos="4680"/>
          <w:tab w:val="right" w:pos="9360"/>
        </w:tabs>
        <w:suppressAutoHyphens/>
        <w:spacing w:after="0" w:line="240" w:lineRule="auto"/>
        <w:jc w:val="both"/>
        <w:rPr>
          <w:rFonts w:eastAsia="Times New Roman" w:cstheme="minorHAnsi"/>
        </w:rPr>
      </w:pPr>
      <w:r w:rsidRPr="00B74333">
        <w:rPr>
          <w:rFonts w:eastAsia="Times New Roman" w:cstheme="minorHAnsi"/>
        </w:rPr>
        <w:t>This Agreement is entered into force on […] (“</w:t>
      </w:r>
      <w:r w:rsidRPr="00B74333">
        <w:rPr>
          <w:rFonts w:eastAsia="Times New Roman" w:cstheme="minorHAnsi"/>
          <w:b/>
        </w:rPr>
        <w:t>Effective Date</w:t>
      </w:r>
      <w:r w:rsidRPr="00B74333">
        <w:rPr>
          <w:rFonts w:eastAsia="Times New Roman" w:cstheme="minorHAnsi"/>
        </w:rPr>
        <w:t xml:space="preserve">”), between </w:t>
      </w:r>
    </w:p>
    <w:p w14:paraId="4F7F7FAC" w14:textId="77777777" w:rsidR="00312023" w:rsidRPr="00B74333" w:rsidRDefault="00312023" w:rsidP="00312023">
      <w:pPr>
        <w:tabs>
          <w:tab w:val="center" w:pos="4680"/>
          <w:tab w:val="right" w:pos="9360"/>
        </w:tabs>
        <w:suppressAutoHyphens/>
        <w:spacing w:after="0" w:line="240" w:lineRule="auto"/>
        <w:jc w:val="both"/>
        <w:rPr>
          <w:rFonts w:eastAsia="Times New Roman" w:cstheme="minorHAnsi"/>
        </w:rPr>
      </w:pPr>
    </w:p>
    <w:p w14:paraId="6951CD83" w14:textId="77777777" w:rsidR="00312023" w:rsidRPr="00B74333" w:rsidRDefault="00312023" w:rsidP="00312023">
      <w:pPr>
        <w:tabs>
          <w:tab w:val="center" w:pos="4680"/>
          <w:tab w:val="right" w:pos="9360"/>
        </w:tabs>
        <w:suppressAutoHyphens/>
        <w:spacing w:after="0" w:line="240" w:lineRule="auto"/>
        <w:jc w:val="both"/>
        <w:rPr>
          <w:rFonts w:eastAsia="Times New Roman" w:cstheme="minorHAnsi"/>
        </w:rPr>
      </w:pPr>
      <w:r w:rsidRPr="00B74333">
        <w:rPr>
          <w:rFonts w:eastAsia="Times New Roman" w:cstheme="minorHAnsi"/>
        </w:rPr>
        <w:t>(1)</w:t>
      </w:r>
      <w:r w:rsidRPr="00B74333">
        <w:rPr>
          <w:rFonts w:eastAsia="Times New Roman" w:cstheme="minorHAnsi"/>
        </w:rPr>
        <w:tab/>
        <w:t xml:space="preserve"> Hellenic Gas Transmission System Operator Societe Anonyme, a company incorporated and existing under the laws of the Hellenic Republic, having its headquarters and registered office at 357-359 </w:t>
      </w:r>
      <w:proofErr w:type="spellStart"/>
      <w:r w:rsidRPr="00B74333">
        <w:rPr>
          <w:rFonts w:eastAsia="Times New Roman" w:cstheme="minorHAnsi"/>
        </w:rPr>
        <w:t>Messogion</w:t>
      </w:r>
      <w:proofErr w:type="spellEnd"/>
      <w:r w:rsidRPr="00B74333">
        <w:rPr>
          <w:rFonts w:eastAsia="Times New Roman" w:cstheme="minorHAnsi"/>
        </w:rPr>
        <w:t xml:space="preserve"> Avenue, </w:t>
      </w:r>
      <w:proofErr w:type="spellStart"/>
      <w:r w:rsidRPr="00B74333">
        <w:rPr>
          <w:rFonts w:eastAsia="Times New Roman" w:cstheme="minorHAnsi"/>
        </w:rPr>
        <w:t>Halandri</w:t>
      </w:r>
      <w:proofErr w:type="spellEnd"/>
      <w:r w:rsidRPr="00B74333">
        <w:rPr>
          <w:rFonts w:eastAsia="Times New Roman" w:cstheme="minorHAnsi"/>
        </w:rPr>
        <w:t xml:space="preserve">, GR-152 31, registered under the Business Registry number (GEMI) 7483601000 (“DESFA”), duly represented by [•]; and </w:t>
      </w:r>
    </w:p>
    <w:p w14:paraId="0246073D" w14:textId="77777777" w:rsidR="00312023" w:rsidRPr="00B74333" w:rsidRDefault="00312023" w:rsidP="00312023">
      <w:pPr>
        <w:tabs>
          <w:tab w:val="center" w:pos="4680"/>
          <w:tab w:val="right" w:pos="9360"/>
        </w:tabs>
        <w:suppressAutoHyphens/>
        <w:spacing w:after="0" w:line="240" w:lineRule="auto"/>
        <w:jc w:val="both"/>
        <w:rPr>
          <w:rFonts w:eastAsia="Times New Roman" w:cstheme="minorHAnsi"/>
        </w:rPr>
      </w:pPr>
    </w:p>
    <w:p w14:paraId="62D531FE" w14:textId="6C8A8FC2" w:rsidR="00D857C8" w:rsidRPr="00B74333" w:rsidRDefault="00312023" w:rsidP="00312023">
      <w:pPr>
        <w:tabs>
          <w:tab w:val="center" w:pos="4680"/>
          <w:tab w:val="right" w:pos="9360"/>
        </w:tabs>
        <w:suppressAutoHyphens/>
        <w:spacing w:after="0" w:line="240" w:lineRule="auto"/>
        <w:jc w:val="both"/>
        <w:rPr>
          <w:rFonts w:eastAsia="Times New Roman" w:cstheme="minorHAnsi"/>
        </w:rPr>
      </w:pPr>
      <w:r w:rsidRPr="00B74333">
        <w:rPr>
          <w:rFonts w:eastAsia="Calibri" w:cstheme="minorHAnsi"/>
          <w:color w:val="000000"/>
          <w:lang w:bidi="en-US"/>
        </w:rPr>
        <w:t>(2) [•], a company incorporated and existing under the laws of [•], having its headquarters and registered office at [•], registered under the Business Registry number [•] (the "</w:t>
      </w:r>
      <w:r w:rsidRPr="00B74333">
        <w:rPr>
          <w:rFonts w:eastAsia="Calibri" w:cstheme="minorHAnsi"/>
          <w:b/>
          <w:bCs/>
          <w:color w:val="000000"/>
          <w:lang w:bidi="en-US"/>
        </w:rPr>
        <w:t>Company</w:t>
      </w:r>
      <w:r w:rsidRPr="00B74333">
        <w:rPr>
          <w:rFonts w:eastAsia="Calibri" w:cstheme="minorHAnsi"/>
          <w:color w:val="000000"/>
          <w:lang w:bidi="en-US"/>
        </w:rPr>
        <w:t>"), duly represented by [•]</w:t>
      </w:r>
    </w:p>
    <w:p w14:paraId="67527FCC" w14:textId="77777777" w:rsidR="00312023" w:rsidRPr="00B74333" w:rsidRDefault="00312023" w:rsidP="00312023">
      <w:pPr>
        <w:tabs>
          <w:tab w:val="center" w:pos="4680"/>
          <w:tab w:val="right" w:pos="9360"/>
        </w:tabs>
        <w:suppressAutoHyphens/>
        <w:spacing w:after="0" w:line="240" w:lineRule="auto"/>
        <w:jc w:val="both"/>
        <w:rPr>
          <w:rFonts w:eastAsia="Times New Roman" w:cstheme="minorHAnsi"/>
        </w:rPr>
      </w:pPr>
      <w:r w:rsidRPr="00B74333">
        <w:rPr>
          <w:rFonts w:eastAsia="Times New Roman" w:cstheme="minorHAnsi"/>
        </w:rPr>
        <w:t>each called the “Party” and collectively the “Parties”.</w:t>
      </w:r>
    </w:p>
    <w:p w14:paraId="62FDABA5" w14:textId="77777777" w:rsidR="00312023" w:rsidRPr="00B74333" w:rsidRDefault="00312023" w:rsidP="00312023">
      <w:pPr>
        <w:tabs>
          <w:tab w:val="center" w:pos="4680"/>
          <w:tab w:val="right" w:pos="9360"/>
        </w:tabs>
        <w:suppressAutoHyphens/>
        <w:spacing w:after="0" w:line="240" w:lineRule="auto"/>
        <w:jc w:val="both"/>
        <w:rPr>
          <w:rFonts w:eastAsia="Times New Roman" w:cstheme="minorHAnsi"/>
          <w:b/>
        </w:rPr>
      </w:pPr>
    </w:p>
    <w:p w14:paraId="38AEC06B" w14:textId="77777777" w:rsidR="00312023" w:rsidRPr="00B74333" w:rsidRDefault="00312023" w:rsidP="00312023">
      <w:pPr>
        <w:suppressAutoHyphens/>
        <w:spacing w:after="0" w:line="260" w:lineRule="exact"/>
        <w:jc w:val="both"/>
        <w:rPr>
          <w:rFonts w:eastAsia="Times New Roman" w:cstheme="minorHAnsi"/>
        </w:rPr>
      </w:pPr>
    </w:p>
    <w:p w14:paraId="23189CCB"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WHEREAS</w:t>
      </w:r>
    </w:p>
    <w:p w14:paraId="0243DC03" w14:textId="77777777" w:rsidR="00312023" w:rsidRPr="00B74333" w:rsidRDefault="00312023" w:rsidP="00312023">
      <w:pPr>
        <w:suppressAutoHyphens/>
        <w:spacing w:after="0" w:line="260" w:lineRule="exact"/>
        <w:jc w:val="both"/>
        <w:rPr>
          <w:rFonts w:eastAsia="Times New Roman" w:cstheme="minorHAnsi"/>
        </w:rPr>
      </w:pPr>
    </w:p>
    <w:p w14:paraId="005BFE6A" w14:textId="77777777" w:rsidR="00312023" w:rsidRPr="00B74333" w:rsidRDefault="00312023" w:rsidP="00312023">
      <w:pPr>
        <w:suppressAutoHyphens/>
        <w:spacing w:after="0" w:line="276" w:lineRule="auto"/>
        <w:jc w:val="both"/>
        <w:rPr>
          <w:rFonts w:eastAsia="Times New Roman" w:cstheme="minorHAnsi"/>
        </w:rPr>
      </w:pPr>
      <w:r w:rsidRPr="00B74333">
        <w:rPr>
          <w:rFonts w:eastAsia="Times New Roman" w:cstheme="minorHAnsi"/>
        </w:rPr>
        <w:t xml:space="preserve">(A) DESFA is the operator of the National Natural Gas Transmission System (the “NNGS”) on the territory of the Hellenic </w:t>
      </w:r>
      <w:proofErr w:type="gramStart"/>
      <w:r w:rsidRPr="00B74333">
        <w:rPr>
          <w:rFonts w:eastAsia="Times New Roman" w:cstheme="minorHAnsi"/>
        </w:rPr>
        <w:t>Republic;</w:t>
      </w:r>
      <w:proofErr w:type="gramEnd"/>
    </w:p>
    <w:p w14:paraId="643BD923" w14:textId="77777777" w:rsidR="00312023" w:rsidRPr="00B74333" w:rsidRDefault="00312023" w:rsidP="00312023">
      <w:pPr>
        <w:suppressAutoHyphens/>
        <w:spacing w:after="0" w:line="276" w:lineRule="auto"/>
        <w:jc w:val="both"/>
        <w:rPr>
          <w:rFonts w:eastAsia="Times New Roman" w:cstheme="minorHAnsi"/>
        </w:rPr>
      </w:pPr>
    </w:p>
    <w:p w14:paraId="67060021" w14:textId="48A6B171" w:rsidR="00312023" w:rsidRPr="00B74333" w:rsidRDefault="00312023" w:rsidP="00312023">
      <w:pPr>
        <w:suppressAutoHyphens/>
        <w:spacing w:after="0" w:line="276" w:lineRule="auto"/>
        <w:jc w:val="both"/>
        <w:rPr>
          <w:rFonts w:cstheme="minorHAnsi"/>
        </w:rPr>
      </w:pPr>
      <w:r w:rsidRPr="00B74333">
        <w:rPr>
          <w:rFonts w:cstheme="minorHAnsi"/>
        </w:rPr>
        <w:t>(B) In regard to the Binding Phase for the</w:t>
      </w:r>
      <w:r w:rsidR="00287DD5" w:rsidRPr="00B74333">
        <w:rPr>
          <w:rFonts w:cstheme="minorHAnsi"/>
        </w:rPr>
        <w:t xml:space="preserve"> Market Test </w:t>
      </w:r>
      <w:proofErr w:type="gramStart"/>
      <w:r w:rsidR="00287DD5" w:rsidRPr="00B74333">
        <w:rPr>
          <w:rFonts w:cstheme="minorHAnsi"/>
        </w:rPr>
        <w:t xml:space="preserve">Process </w:t>
      </w:r>
      <w:r w:rsidRPr="00B74333">
        <w:rPr>
          <w:rFonts w:cstheme="minorHAnsi"/>
        </w:rPr>
        <w:t>,</w:t>
      </w:r>
      <w:proofErr w:type="gramEnd"/>
      <w:r w:rsidRPr="00B74333">
        <w:rPr>
          <w:rFonts w:cstheme="minorHAnsi"/>
        </w:rPr>
        <w:t xml:space="preserve"> DESFA issued an invitation to interested entities to submit binding requests for booking transmission Capacity at </w:t>
      </w:r>
      <w:r w:rsidR="005D4E22" w:rsidRPr="00B74333">
        <w:rPr>
          <w:rFonts w:cstheme="minorHAnsi"/>
        </w:rPr>
        <w:t xml:space="preserve">DESFA’s side of the IPs and </w:t>
      </w:r>
      <w:r w:rsidR="00B06513" w:rsidRPr="00B74333">
        <w:rPr>
          <w:rFonts w:cstheme="minorHAnsi"/>
        </w:rPr>
        <w:t xml:space="preserve">entry points </w:t>
      </w:r>
      <w:r w:rsidRPr="00B74333">
        <w:rPr>
          <w:rFonts w:cstheme="minorHAnsi"/>
        </w:rPr>
        <w:t xml:space="preserve">according to the </w:t>
      </w:r>
      <w:r w:rsidR="004E2ADC" w:rsidRPr="00B74333">
        <w:rPr>
          <w:rFonts w:cstheme="minorHAnsi"/>
        </w:rPr>
        <w:t xml:space="preserve">Guidelines and the </w:t>
      </w:r>
      <w:r w:rsidRPr="00B74333">
        <w:rPr>
          <w:rFonts w:cstheme="minorHAnsi"/>
        </w:rPr>
        <w:t>Project Proposal</w:t>
      </w:r>
      <w:r w:rsidR="004E2ADC" w:rsidRPr="00B74333">
        <w:rPr>
          <w:rFonts w:cstheme="minorHAnsi"/>
        </w:rPr>
        <w:t>s</w:t>
      </w:r>
      <w:r w:rsidR="00EB28BD" w:rsidRPr="00B74333">
        <w:rPr>
          <w:rFonts w:cstheme="minorHAnsi"/>
        </w:rPr>
        <w:t>.</w:t>
      </w:r>
      <w:r w:rsidRPr="00B74333">
        <w:rPr>
          <w:rFonts w:cstheme="minorHAnsi"/>
        </w:rPr>
        <w:t xml:space="preserve"> </w:t>
      </w:r>
    </w:p>
    <w:p w14:paraId="6C3FDB8F" w14:textId="77777777" w:rsidR="00312023" w:rsidRPr="00B74333" w:rsidRDefault="00312023" w:rsidP="00312023">
      <w:pPr>
        <w:suppressAutoHyphens/>
        <w:spacing w:after="0" w:line="276" w:lineRule="auto"/>
        <w:jc w:val="both"/>
        <w:rPr>
          <w:rFonts w:cstheme="minorHAnsi"/>
        </w:rPr>
      </w:pPr>
    </w:p>
    <w:p w14:paraId="68D6FA87" w14:textId="357D4605" w:rsidR="00312023" w:rsidRPr="00B74333" w:rsidRDefault="00312023" w:rsidP="00312023">
      <w:pPr>
        <w:suppressAutoHyphens/>
        <w:spacing w:after="0" w:line="276" w:lineRule="auto"/>
        <w:jc w:val="both"/>
        <w:rPr>
          <w:rFonts w:eastAsia="Times New Roman" w:cstheme="minorHAnsi"/>
        </w:rPr>
      </w:pPr>
      <w:r w:rsidRPr="00B74333">
        <w:rPr>
          <w:rFonts w:eastAsia="Times New Roman" w:cstheme="minorHAnsi"/>
        </w:rPr>
        <w:t xml:space="preserve">(C) The Company intends to participate to the </w:t>
      </w:r>
      <w:r w:rsidR="008E5BC7" w:rsidRPr="00B74333">
        <w:rPr>
          <w:rFonts w:eastAsia="Times New Roman" w:cstheme="minorHAnsi"/>
        </w:rPr>
        <w:t>Market Test</w:t>
      </w:r>
      <w:r w:rsidRPr="00B74333">
        <w:rPr>
          <w:rFonts w:eastAsia="Times New Roman" w:cstheme="minorHAnsi"/>
        </w:rPr>
        <w:t xml:space="preserve"> Process as a </w:t>
      </w:r>
      <w:proofErr w:type="gramStart"/>
      <w:r w:rsidRPr="00B74333">
        <w:rPr>
          <w:rFonts w:eastAsia="Times New Roman" w:cstheme="minorHAnsi"/>
        </w:rPr>
        <w:t>Participant;</w:t>
      </w:r>
      <w:proofErr w:type="gramEnd"/>
    </w:p>
    <w:p w14:paraId="1A55F75E" w14:textId="77777777" w:rsidR="00312023" w:rsidRPr="00B74333" w:rsidRDefault="00312023" w:rsidP="00312023">
      <w:pPr>
        <w:suppressAutoHyphens/>
        <w:spacing w:after="0" w:line="260" w:lineRule="exact"/>
        <w:jc w:val="both"/>
        <w:rPr>
          <w:rFonts w:eastAsia="Times New Roman" w:cstheme="minorHAnsi"/>
        </w:rPr>
      </w:pPr>
    </w:p>
    <w:p w14:paraId="6EFFA152" w14:textId="33CE1165"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(D) In connection with the </w:t>
      </w:r>
      <w:r w:rsidR="008E5BC7" w:rsidRPr="00B74333">
        <w:rPr>
          <w:rFonts w:eastAsia="Times New Roman" w:cstheme="minorHAnsi"/>
        </w:rPr>
        <w:t>Market Test</w:t>
      </w:r>
      <w:r w:rsidRPr="00B74333">
        <w:rPr>
          <w:rFonts w:eastAsia="Times New Roman" w:cstheme="minorHAnsi"/>
        </w:rPr>
        <w:t xml:space="preserve"> Process it may be necessary for each Party, to disclose to the other Party or the TSO</w:t>
      </w:r>
      <w:r w:rsidR="00936F49" w:rsidRPr="00B74333">
        <w:rPr>
          <w:rFonts w:eastAsia="Times New Roman" w:cstheme="minorHAnsi"/>
        </w:rPr>
        <w:t>s</w:t>
      </w:r>
      <w:r w:rsidR="00257669" w:rsidRPr="00B74333">
        <w:rPr>
          <w:rFonts w:eastAsia="Times New Roman" w:cstheme="minorHAnsi"/>
        </w:rPr>
        <w:t xml:space="preserve"> Concerned</w:t>
      </w:r>
      <w:r w:rsidRPr="00B74333">
        <w:rPr>
          <w:rFonts w:eastAsia="Times New Roman" w:cstheme="minorHAnsi"/>
        </w:rPr>
        <w:t xml:space="preserve"> information a Party considers to be confidential, which may be communicated orally, in document form, by demonstration or </w:t>
      </w:r>
      <w:proofErr w:type="gramStart"/>
      <w:r w:rsidRPr="00B74333">
        <w:rPr>
          <w:rFonts w:eastAsia="Times New Roman" w:cstheme="minorHAnsi"/>
        </w:rPr>
        <w:t>otherwise;</w:t>
      </w:r>
      <w:proofErr w:type="gramEnd"/>
    </w:p>
    <w:p w14:paraId="5FDCAE43" w14:textId="77777777" w:rsidR="00312023" w:rsidRPr="00B74333" w:rsidRDefault="00312023" w:rsidP="00312023">
      <w:pPr>
        <w:suppressAutoHyphens/>
        <w:spacing w:after="0" w:line="260" w:lineRule="exact"/>
        <w:jc w:val="both"/>
        <w:rPr>
          <w:rFonts w:eastAsia="Times New Roman" w:cstheme="minorHAnsi"/>
        </w:rPr>
      </w:pPr>
    </w:p>
    <w:p w14:paraId="30163AB3"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(E) the Parties agree to undertake obligations regarding non-disclosure and utilization of Confidential information (</w:t>
      </w:r>
      <w:r w:rsidRPr="00B74333">
        <w:rPr>
          <w:rFonts w:eastAsia="Times New Roman" w:cstheme="minorHAnsi"/>
          <w:b/>
        </w:rPr>
        <w:t>“Agreement”</w:t>
      </w:r>
      <w:r w:rsidRPr="00B74333">
        <w:rPr>
          <w:rFonts w:eastAsia="Times New Roman" w:cstheme="minorHAnsi"/>
        </w:rPr>
        <w:t>).</w:t>
      </w:r>
    </w:p>
    <w:p w14:paraId="5FD6B041" w14:textId="77777777" w:rsidR="00312023" w:rsidRPr="00B74333" w:rsidRDefault="00312023" w:rsidP="00312023">
      <w:pPr>
        <w:suppressAutoHyphens/>
        <w:spacing w:after="0" w:line="260" w:lineRule="exact"/>
        <w:jc w:val="both"/>
        <w:rPr>
          <w:rFonts w:eastAsia="Times New Roman" w:cstheme="minorHAnsi"/>
        </w:rPr>
      </w:pPr>
    </w:p>
    <w:p w14:paraId="4A34958A" w14:textId="77777777" w:rsidR="00312023" w:rsidRPr="00B74333" w:rsidRDefault="00312023" w:rsidP="00312023">
      <w:pPr>
        <w:suppressAutoHyphens/>
        <w:spacing w:after="0" w:line="260" w:lineRule="exact"/>
        <w:jc w:val="both"/>
        <w:rPr>
          <w:rFonts w:eastAsia="Times New Roman" w:cstheme="minorHAnsi"/>
        </w:rPr>
      </w:pPr>
    </w:p>
    <w:p w14:paraId="5E59A67F"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THEREFORE, the Parties agree as follows:</w:t>
      </w:r>
    </w:p>
    <w:p w14:paraId="53AD66FC" w14:textId="77777777" w:rsidR="00312023" w:rsidRPr="00B74333" w:rsidRDefault="00312023" w:rsidP="00312023">
      <w:pPr>
        <w:suppressAutoHyphens/>
        <w:spacing w:after="0" w:line="260" w:lineRule="exact"/>
        <w:jc w:val="both"/>
        <w:rPr>
          <w:rFonts w:eastAsia="Times New Roman" w:cstheme="minorHAnsi"/>
          <w:b/>
        </w:rPr>
      </w:pPr>
    </w:p>
    <w:p w14:paraId="3E54B9C6" w14:textId="77777777" w:rsidR="00312023" w:rsidRPr="00B74333" w:rsidRDefault="00312023" w:rsidP="00312023">
      <w:pPr>
        <w:suppressAutoHyphens/>
        <w:spacing w:after="0" w:line="260" w:lineRule="exact"/>
        <w:jc w:val="both"/>
        <w:rPr>
          <w:rFonts w:eastAsia="Times New Roman" w:cstheme="minorHAnsi"/>
          <w:b/>
        </w:rPr>
      </w:pPr>
    </w:p>
    <w:p w14:paraId="5367ADCE"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1. DEFINITIONS</w:t>
      </w:r>
    </w:p>
    <w:p w14:paraId="4B839F9C" w14:textId="77777777" w:rsidR="00312023" w:rsidRPr="00B74333" w:rsidRDefault="00312023" w:rsidP="00312023">
      <w:pPr>
        <w:widowControl w:val="0"/>
        <w:suppressAutoHyphens/>
        <w:spacing w:after="120" w:line="360" w:lineRule="auto"/>
        <w:contextualSpacing/>
        <w:jc w:val="both"/>
        <w:rPr>
          <w:rFonts w:cstheme="minorHAnsi"/>
        </w:rPr>
      </w:pPr>
    </w:p>
    <w:p w14:paraId="138F1378" w14:textId="54A43A67" w:rsidR="00312023" w:rsidRPr="00B74333" w:rsidRDefault="00312023" w:rsidP="00312023">
      <w:pPr>
        <w:widowControl w:val="0"/>
        <w:suppressAutoHyphens/>
        <w:spacing w:after="120" w:line="276" w:lineRule="auto"/>
        <w:contextualSpacing/>
        <w:jc w:val="both"/>
        <w:rPr>
          <w:rFonts w:eastAsia="Times New Roman" w:cstheme="minorHAnsi"/>
        </w:rPr>
      </w:pPr>
      <w:r w:rsidRPr="00B74333">
        <w:rPr>
          <w:rFonts w:cstheme="minorHAnsi"/>
        </w:rPr>
        <w:t xml:space="preserve">1.1. All </w:t>
      </w:r>
      <w:r w:rsidRPr="00B74333">
        <w:rPr>
          <w:rFonts w:eastAsia="Times New Roman" w:cstheme="minorHAnsi"/>
        </w:rPr>
        <w:t xml:space="preserve">capitalized terms in this Agreement have the meaning provided for in the </w:t>
      </w:r>
      <w:r w:rsidR="00257669" w:rsidRPr="00B74333">
        <w:rPr>
          <w:rFonts w:eastAsia="Times New Roman" w:cstheme="minorHAnsi"/>
        </w:rPr>
        <w:t xml:space="preserve">Guidelines and the </w:t>
      </w:r>
      <w:r w:rsidRPr="00B74333">
        <w:rPr>
          <w:rFonts w:eastAsia="Times New Roman" w:cstheme="minorHAnsi"/>
        </w:rPr>
        <w:t>Project Proposal</w:t>
      </w:r>
      <w:r w:rsidR="00257669" w:rsidRPr="00B74333">
        <w:rPr>
          <w:rFonts w:eastAsia="Times New Roman" w:cstheme="minorHAnsi"/>
        </w:rPr>
        <w:t>s</w:t>
      </w:r>
      <w:r w:rsidRPr="00B74333">
        <w:rPr>
          <w:rFonts w:eastAsia="Times New Roman" w:cstheme="minorHAnsi"/>
        </w:rPr>
        <w:t>, the Joint Notice</w:t>
      </w:r>
      <w:r w:rsidR="00257669" w:rsidRPr="00B74333">
        <w:rPr>
          <w:rFonts w:eastAsia="Times New Roman" w:cstheme="minorHAnsi"/>
        </w:rPr>
        <w:t>s</w:t>
      </w:r>
      <w:r w:rsidRPr="00B74333">
        <w:rPr>
          <w:rFonts w:eastAsia="Times New Roman" w:cstheme="minorHAnsi"/>
        </w:rPr>
        <w:t xml:space="preserve"> and DESFA</w:t>
      </w:r>
      <w:r w:rsidR="00DE6A94" w:rsidRPr="00B74333">
        <w:rPr>
          <w:rFonts w:eastAsia="Times New Roman" w:cstheme="minorHAnsi"/>
        </w:rPr>
        <w:t>’s</w:t>
      </w:r>
      <w:r w:rsidRPr="00B74333">
        <w:rPr>
          <w:rFonts w:eastAsia="Times New Roman" w:cstheme="minorHAnsi"/>
        </w:rPr>
        <w:t xml:space="preserve"> Binding Phase Notice.</w:t>
      </w:r>
    </w:p>
    <w:p w14:paraId="72EA965E"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1.2. In addition, the following capitalized </w:t>
      </w:r>
      <w:proofErr w:type="gramStart"/>
      <w:r w:rsidRPr="00B74333">
        <w:rPr>
          <w:rFonts w:eastAsia="Times New Roman" w:cstheme="minorHAnsi"/>
        </w:rPr>
        <w:t>terms</w:t>
      </w:r>
      <w:proofErr w:type="gramEnd"/>
      <w:r w:rsidRPr="00B74333">
        <w:rPr>
          <w:rFonts w:eastAsia="Times New Roman" w:cstheme="minorHAnsi"/>
        </w:rPr>
        <w:t xml:space="preserve"> and expressions, when used in this Agreement shall have the following meaning: </w:t>
      </w:r>
    </w:p>
    <w:p w14:paraId="2C9781B2" w14:textId="32547EF1" w:rsidR="00312023" w:rsidRPr="00B74333" w:rsidRDefault="00312023" w:rsidP="00571502">
      <w:pPr>
        <w:suppressAutoHyphens/>
        <w:spacing w:after="0" w:line="260" w:lineRule="exact"/>
        <w:ind w:left="720"/>
        <w:jc w:val="both"/>
        <w:rPr>
          <w:rFonts w:eastAsia="Times New Roman" w:cstheme="minorHAnsi"/>
        </w:rPr>
      </w:pPr>
      <w:r w:rsidRPr="00B74333">
        <w:rPr>
          <w:rFonts w:eastAsia="Times New Roman" w:cstheme="minorHAnsi"/>
        </w:rPr>
        <w:t>(a) “</w:t>
      </w:r>
      <w:r w:rsidRPr="00B74333">
        <w:rPr>
          <w:rFonts w:eastAsia="Times New Roman" w:cstheme="minorHAnsi"/>
          <w:b/>
        </w:rPr>
        <w:t>Confidential Information</w:t>
      </w:r>
      <w:r w:rsidRPr="00B74333">
        <w:rPr>
          <w:rFonts w:eastAsia="Times New Roman" w:cstheme="minorHAnsi"/>
        </w:rPr>
        <w:t xml:space="preserve">” means the information and materials disclosed, during the participation in the </w:t>
      </w:r>
      <w:r w:rsidR="00257762" w:rsidRPr="00B74333">
        <w:rPr>
          <w:rFonts w:eastAsia="Times New Roman" w:cstheme="minorHAnsi"/>
        </w:rPr>
        <w:t>Market Test Process</w:t>
      </w:r>
      <w:r w:rsidRPr="00B74333">
        <w:rPr>
          <w:rFonts w:eastAsia="Times New Roman" w:cstheme="minorHAnsi"/>
        </w:rPr>
        <w:t xml:space="preserve"> and subsequently, </w:t>
      </w:r>
      <w:proofErr w:type="gramStart"/>
      <w:r w:rsidRPr="00B74333">
        <w:rPr>
          <w:rFonts w:eastAsia="Times New Roman" w:cstheme="minorHAnsi"/>
        </w:rPr>
        <w:t>directly</w:t>
      </w:r>
      <w:proofErr w:type="gramEnd"/>
      <w:r w:rsidRPr="00B74333">
        <w:rPr>
          <w:rFonts w:eastAsia="Times New Roman" w:cstheme="minorHAnsi"/>
        </w:rPr>
        <w:t xml:space="preserve"> or indirectly, either orally, </w:t>
      </w:r>
      <w:r w:rsidRPr="00B74333">
        <w:rPr>
          <w:rFonts w:eastAsia="Times New Roman" w:cstheme="minorHAnsi"/>
        </w:rPr>
        <w:lastRenderedPageBreak/>
        <w:t xml:space="preserve">visually or in writing, by the Disclosing Party to the Recipient for the purposes or the opportunity of the </w:t>
      </w:r>
      <w:r w:rsidR="00CF4F57" w:rsidRPr="00B74333">
        <w:rPr>
          <w:rFonts w:eastAsia="Times New Roman" w:cstheme="minorHAnsi"/>
        </w:rPr>
        <w:t>Market Test</w:t>
      </w:r>
      <w:r w:rsidRPr="00B74333">
        <w:rPr>
          <w:rFonts w:eastAsia="Times New Roman" w:cstheme="minorHAnsi"/>
        </w:rPr>
        <w:t xml:space="preserve"> Process, provided that such information has been either:</w:t>
      </w:r>
    </w:p>
    <w:p w14:paraId="4B5752B8" w14:textId="77777777" w:rsidR="00312023" w:rsidRPr="00B74333" w:rsidRDefault="00312023" w:rsidP="00571502">
      <w:pPr>
        <w:suppressAutoHyphens/>
        <w:spacing w:after="0" w:line="260" w:lineRule="exact"/>
        <w:ind w:left="720"/>
        <w:jc w:val="both"/>
        <w:rPr>
          <w:rFonts w:eastAsia="Times New Roman" w:cstheme="minorHAnsi"/>
        </w:rPr>
      </w:pPr>
    </w:p>
    <w:p w14:paraId="700D3A80" w14:textId="77777777" w:rsidR="00312023" w:rsidRPr="00B74333" w:rsidRDefault="00312023" w:rsidP="00571502">
      <w:pPr>
        <w:suppressAutoHyphens/>
        <w:spacing w:after="0" w:line="260" w:lineRule="exact"/>
        <w:ind w:left="1440"/>
        <w:jc w:val="both"/>
        <w:rPr>
          <w:rFonts w:eastAsia="Times New Roman" w:cstheme="minorHAnsi"/>
        </w:rPr>
      </w:pPr>
      <w:r w:rsidRPr="00B74333">
        <w:rPr>
          <w:rFonts w:eastAsia="Times New Roman" w:cstheme="minorHAnsi"/>
        </w:rPr>
        <w:t xml:space="preserve">(i) with regard to written information and other tangible information, clearly marked as “Confidential” or “Business Secret” prior to or at the time of </w:t>
      </w:r>
      <w:proofErr w:type="gramStart"/>
      <w:r w:rsidRPr="00B74333">
        <w:rPr>
          <w:rFonts w:eastAsia="Times New Roman" w:cstheme="minorHAnsi"/>
        </w:rPr>
        <w:t>disclosure;</w:t>
      </w:r>
      <w:proofErr w:type="gramEnd"/>
      <w:r w:rsidRPr="00B74333">
        <w:rPr>
          <w:rFonts w:eastAsia="Times New Roman" w:cstheme="minorHAnsi"/>
        </w:rPr>
        <w:t xml:space="preserve"> </w:t>
      </w:r>
    </w:p>
    <w:p w14:paraId="468A42A6" w14:textId="77777777" w:rsidR="00312023" w:rsidRPr="00B74333" w:rsidRDefault="00312023" w:rsidP="00571502">
      <w:pPr>
        <w:suppressAutoHyphens/>
        <w:spacing w:after="0" w:line="260" w:lineRule="exact"/>
        <w:ind w:left="2145"/>
        <w:jc w:val="both"/>
        <w:rPr>
          <w:rFonts w:eastAsia="Times New Roman" w:cstheme="minorHAnsi"/>
        </w:rPr>
      </w:pPr>
    </w:p>
    <w:p w14:paraId="412BC7C6" w14:textId="77777777" w:rsidR="00312023" w:rsidRPr="00B74333" w:rsidRDefault="00312023" w:rsidP="00571502">
      <w:pPr>
        <w:suppressAutoHyphens/>
        <w:spacing w:after="0" w:line="260" w:lineRule="exact"/>
        <w:ind w:left="1440"/>
        <w:jc w:val="both"/>
        <w:rPr>
          <w:rFonts w:eastAsia="Times New Roman" w:cstheme="minorHAnsi"/>
        </w:rPr>
      </w:pPr>
      <w:r w:rsidRPr="00B74333">
        <w:rPr>
          <w:rFonts w:eastAsia="Times New Roman" w:cstheme="minorHAnsi"/>
        </w:rPr>
        <w:t xml:space="preserve">(ii) </w:t>
      </w:r>
      <w:proofErr w:type="gramStart"/>
      <w:r w:rsidRPr="00B74333">
        <w:rPr>
          <w:rFonts w:eastAsia="Times New Roman" w:cstheme="minorHAnsi"/>
        </w:rPr>
        <w:t>with regard to</w:t>
      </w:r>
      <w:proofErr w:type="gramEnd"/>
      <w:r w:rsidRPr="00B74333">
        <w:rPr>
          <w:rFonts w:eastAsia="Times New Roman" w:cstheme="minorHAnsi"/>
        </w:rPr>
        <w:t xml:space="preserve"> information disclosed orally or visually, clearly identified as confidential prior to, at the time of or immediately after the disclosure.</w:t>
      </w:r>
    </w:p>
    <w:p w14:paraId="479BDF3B" w14:textId="77777777" w:rsidR="00312023" w:rsidRPr="00B74333" w:rsidRDefault="00312023" w:rsidP="00571502">
      <w:pPr>
        <w:suppressAutoHyphens/>
        <w:spacing w:after="0" w:line="260" w:lineRule="exact"/>
        <w:ind w:left="1440"/>
        <w:jc w:val="both"/>
        <w:rPr>
          <w:rFonts w:eastAsia="Times New Roman" w:cstheme="minorHAnsi"/>
        </w:rPr>
      </w:pPr>
    </w:p>
    <w:p w14:paraId="41CFAE47" w14:textId="6E96C362" w:rsidR="00312023" w:rsidRPr="00B74333" w:rsidRDefault="00312023" w:rsidP="00571502">
      <w:pPr>
        <w:suppressAutoHyphens/>
        <w:spacing w:after="0" w:line="260" w:lineRule="exact"/>
        <w:ind w:left="1440"/>
        <w:jc w:val="both"/>
        <w:rPr>
          <w:rFonts w:eastAsia="Times New Roman" w:cstheme="minorHAnsi"/>
        </w:rPr>
      </w:pPr>
      <w:r w:rsidRPr="00B74333">
        <w:rPr>
          <w:rFonts w:eastAsia="Times New Roman" w:cstheme="minorHAnsi"/>
        </w:rPr>
        <w:t xml:space="preserve">Without limiting the generality of the foregoing, Confidential Information includes information and materials related to the </w:t>
      </w:r>
      <w:r w:rsidR="00CF4F57" w:rsidRPr="00B74333">
        <w:rPr>
          <w:rFonts w:eastAsia="Times New Roman" w:cstheme="minorHAnsi"/>
        </w:rPr>
        <w:t>Market Test</w:t>
      </w:r>
      <w:r w:rsidRPr="00B74333">
        <w:rPr>
          <w:rFonts w:eastAsia="Times New Roman" w:cstheme="minorHAnsi"/>
        </w:rPr>
        <w:t xml:space="preserve"> Process; and financial and business information and any information relating to the business, business plans, </w:t>
      </w:r>
      <w:proofErr w:type="gramStart"/>
      <w:r w:rsidRPr="00B74333">
        <w:rPr>
          <w:rFonts w:eastAsia="Times New Roman" w:cstheme="minorHAnsi"/>
        </w:rPr>
        <w:t>strategies</w:t>
      </w:r>
      <w:proofErr w:type="gramEnd"/>
      <w:r w:rsidRPr="00B74333">
        <w:rPr>
          <w:rFonts w:eastAsia="Times New Roman" w:cstheme="minorHAnsi"/>
        </w:rPr>
        <w:t xml:space="preserve"> and commercial information of a Party.</w:t>
      </w:r>
    </w:p>
    <w:p w14:paraId="575DBD72" w14:textId="77777777" w:rsidR="00312023" w:rsidRPr="00B74333" w:rsidRDefault="00312023" w:rsidP="00571502">
      <w:pPr>
        <w:suppressAutoHyphens/>
        <w:spacing w:after="0" w:line="260" w:lineRule="exact"/>
        <w:ind w:left="720"/>
        <w:jc w:val="both"/>
        <w:rPr>
          <w:rFonts w:eastAsia="Times New Roman" w:cstheme="minorHAnsi"/>
        </w:rPr>
      </w:pPr>
    </w:p>
    <w:p w14:paraId="4239AE95" w14:textId="77777777" w:rsidR="00312023" w:rsidRPr="00B74333" w:rsidRDefault="00312023" w:rsidP="00571502">
      <w:pPr>
        <w:suppressAutoHyphens/>
        <w:spacing w:after="0" w:line="260" w:lineRule="exact"/>
        <w:ind w:left="720"/>
        <w:jc w:val="both"/>
        <w:rPr>
          <w:rFonts w:eastAsia="Times New Roman" w:cstheme="minorHAnsi"/>
        </w:rPr>
      </w:pPr>
      <w:r w:rsidRPr="00B74333">
        <w:rPr>
          <w:rFonts w:eastAsia="Times New Roman" w:cstheme="minorHAnsi"/>
        </w:rPr>
        <w:t>(b) “</w:t>
      </w:r>
      <w:r w:rsidRPr="00B74333">
        <w:rPr>
          <w:rFonts w:eastAsia="Times New Roman" w:cstheme="minorHAnsi"/>
          <w:b/>
        </w:rPr>
        <w:t>Disclosing Party</w:t>
      </w:r>
      <w:r w:rsidRPr="00B74333">
        <w:rPr>
          <w:rFonts w:eastAsia="Times New Roman" w:cstheme="minorHAnsi"/>
        </w:rPr>
        <w:t>” means the Party disclosing Confidential Information,</w:t>
      </w:r>
    </w:p>
    <w:p w14:paraId="0F5385B7" w14:textId="77777777" w:rsidR="00A974E0" w:rsidRPr="00B74333" w:rsidRDefault="00A974E0" w:rsidP="00571502">
      <w:pPr>
        <w:suppressAutoHyphens/>
        <w:spacing w:after="0" w:line="260" w:lineRule="exact"/>
        <w:ind w:left="720"/>
        <w:jc w:val="both"/>
        <w:rPr>
          <w:rFonts w:eastAsia="Times New Roman" w:cstheme="minorHAnsi"/>
        </w:rPr>
      </w:pPr>
    </w:p>
    <w:p w14:paraId="735DC9F7" w14:textId="3EF8D8DC" w:rsidR="00A974E0" w:rsidRPr="00B74333" w:rsidRDefault="00A974E0" w:rsidP="00571502">
      <w:pPr>
        <w:suppressAutoHyphens/>
        <w:spacing w:after="0" w:line="260" w:lineRule="exact"/>
        <w:ind w:left="720"/>
        <w:jc w:val="both"/>
        <w:rPr>
          <w:rFonts w:eastAsia="Times New Roman" w:cstheme="minorHAnsi"/>
        </w:rPr>
      </w:pPr>
      <w:r w:rsidRPr="00B74333">
        <w:rPr>
          <w:rFonts w:eastAsia="Times New Roman" w:cstheme="minorHAnsi"/>
        </w:rPr>
        <w:t xml:space="preserve">(c) </w:t>
      </w:r>
      <w:r w:rsidRPr="00B74333">
        <w:rPr>
          <w:rFonts w:eastAsia="Times New Roman" w:cstheme="minorHAnsi"/>
          <w:b/>
          <w:bCs/>
        </w:rPr>
        <w:t xml:space="preserve">“Market Test Process” </w:t>
      </w:r>
      <w:r w:rsidRPr="00B74333">
        <w:rPr>
          <w:rFonts w:eastAsia="Times New Roman" w:cstheme="minorHAnsi"/>
        </w:rPr>
        <w:t xml:space="preserve">means </w:t>
      </w:r>
      <w:r w:rsidR="00174A39" w:rsidRPr="00B74333">
        <w:rPr>
          <w:rFonts w:eastAsia="Times New Roman" w:cstheme="minorHAnsi"/>
        </w:rPr>
        <w:t xml:space="preserve">the incremental capacity procedure launched for the allocation of incremental capacity </w:t>
      </w:r>
      <w:r w:rsidR="00486DE3" w:rsidRPr="00B74333">
        <w:rPr>
          <w:rFonts w:eastAsia="Times New Roman" w:cstheme="minorHAnsi"/>
        </w:rPr>
        <w:t>according to the Guidelines and the Binding Phase Notice as well as the Project Proposals and</w:t>
      </w:r>
      <w:r w:rsidR="00486DE3" w:rsidRPr="00B74333">
        <w:rPr>
          <w:rFonts w:cstheme="minorHAnsi"/>
        </w:rPr>
        <w:t xml:space="preserve"> </w:t>
      </w:r>
      <w:r w:rsidR="00486DE3" w:rsidRPr="00B74333">
        <w:rPr>
          <w:rFonts w:eastAsia="Times New Roman" w:cstheme="minorHAnsi"/>
        </w:rPr>
        <w:t>the Joint Notices</w:t>
      </w:r>
      <w:r w:rsidR="00C85F22" w:rsidRPr="00B74333">
        <w:rPr>
          <w:rFonts w:eastAsia="Times New Roman" w:cstheme="minorHAnsi"/>
        </w:rPr>
        <w:t>.</w:t>
      </w:r>
      <w:r w:rsidR="00486DE3" w:rsidRPr="00B74333">
        <w:rPr>
          <w:rFonts w:eastAsia="Times New Roman" w:cstheme="minorHAnsi"/>
        </w:rPr>
        <w:t xml:space="preserve"> </w:t>
      </w:r>
    </w:p>
    <w:p w14:paraId="7D42D8BF" w14:textId="77777777" w:rsidR="00D20818" w:rsidRPr="00B74333" w:rsidRDefault="00D20818" w:rsidP="00571502">
      <w:pPr>
        <w:suppressAutoHyphens/>
        <w:spacing w:after="0" w:line="260" w:lineRule="exact"/>
        <w:ind w:left="720"/>
        <w:jc w:val="both"/>
        <w:rPr>
          <w:rFonts w:eastAsia="Times New Roman" w:cstheme="minorHAnsi"/>
        </w:rPr>
      </w:pPr>
    </w:p>
    <w:p w14:paraId="73382EA8" w14:textId="44D921A2" w:rsidR="00D20818" w:rsidRPr="00B74333" w:rsidRDefault="00D20818" w:rsidP="00571502">
      <w:pPr>
        <w:suppressAutoHyphens/>
        <w:spacing w:after="0" w:line="260" w:lineRule="exact"/>
        <w:ind w:left="720"/>
        <w:jc w:val="both"/>
        <w:rPr>
          <w:rFonts w:eastAsia="Times New Roman" w:cstheme="minorHAnsi"/>
        </w:rPr>
      </w:pPr>
      <w:r w:rsidRPr="00B74333">
        <w:rPr>
          <w:rFonts w:eastAsia="Times New Roman" w:cstheme="minorHAnsi"/>
        </w:rPr>
        <w:t xml:space="preserve">(d) </w:t>
      </w:r>
      <w:r w:rsidRPr="00B74333">
        <w:rPr>
          <w:rFonts w:eastAsia="Times New Roman" w:cstheme="minorHAnsi"/>
          <w:b/>
          <w:bCs/>
        </w:rPr>
        <w:t>“Project Proposals"</w:t>
      </w:r>
      <w:r w:rsidRPr="00B74333">
        <w:rPr>
          <w:rFonts w:eastAsia="Times New Roman" w:cstheme="minorHAnsi"/>
        </w:rPr>
        <w:t xml:space="preserve"> </w:t>
      </w:r>
      <w:r w:rsidRPr="00B74333">
        <w:rPr>
          <w:rFonts w:cstheme="minorHAnsi"/>
        </w:rPr>
        <w:t xml:space="preserve">means the project proposals for incremental capacity </w:t>
      </w:r>
      <w:r w:rsidR="00B60B81" w:rsidRPr="00B74333">
        <w:rPr>
          <w:rFonts w:cstheme="minorHAnsi"/>
        </w:rPr>
        <w:t xml:space="preserve">submitted by </w:t>
      </w:r>
      <w:r w:rsidR="00BD2BDD" w:rsidRPr="00B74333">
        <w:rPr>
          <w:rFonts w:cstheme="minorHAnsi"/>
        </w:rPr>
        <w:t>BULGARTRANSGAZ and ICGB</w:t>
      </w:r>
      <w:r w:rsidR="00CA2830" w:rsidRPr="00B74333">
        <w:rPr>
          <w:rFonts w:cstheme="minorHAnsi"/>
        </w:rPr>
        <w:t xml:space="preserve"> </w:t>
      </w:r>
      <w:r w:rsidR="00B60B81" w:rsidRPr="00B74333">
        <w:rPr>
          <w:rFonts w:cstheme="minorHAnsi"/>
        </w:rPr>
        <w:t xml:space="preserve">and </w:t>
      </w:r>
      <w:r w:rsidRPr="00B74333">
        <w:rPr>
          <w:rFonts w:cstheme="minorHAnsi"/>
        </w:rPr>
        <w:t xml:space="preserve">approved by the </w:t>
      </w:r>
      <w:r w:rsidR="00416532" w:rsidRPr="00B74333">
        <w:rPr>
          <w:rFonts w:cstheme="minorHAnsi"/>
        </w:rPr>
        <w:t>Hellenic</w:t>
      </w:r>
      <w:r w:rsidRPr="00B74333">
        <w:rPr>
          <w:rFonts w:cstheme="minorHAnsi"/>
        </w:rPr>
        <w:t xml:space="preserve"> R</w:t>
      </w:r>
      <w:r w:rsidR="00CA2830" w:rsidRPr="00B74333">
        <w:rPr>
          <w:rFonts w:cstheme="minorHAnsi"/>
        </w:rPr>
        <w:t xml:space="preserve">egulatory </w:t>
      </w:r>
      <w:r w:rsidR="00BD2BDD" w:rsidRPr="00B74333">
        <w:rPr>
          <w:rFonts w:cstheme="minorHAnsi"/>
        </w:rPr>
        <w:t>Authority for Energy, Waste &amp; Water (RAEWW)</w:t>
      </w:r>
      <w:r w:rsidRPr="00B74333">
        <w:rPr>
          <w:rFonts w:cstheme="minorHAnsi"/>
        </w:rPr>
        <w:t xml:space="preserve"> by </w:t>
      </w:r>
      <w:r w:rsidR="00BD2BDD" w:rsidRPr="00B74333">
        <w:rPr>
          <w:rFonts w:cstheme="minorHAnsi"/>
        </w:rPr>
        <w:t>its Decision</w:t>
      </w:r>
      <w:r w:rsidRPr="00B74333">
        <w:rPr>
          <w:rFonts w:cstheme="minorHAnsi"/>
        </w:rPr>
        <w:t xml:space="preserve"> </w:t>
      </w:r>
      <w:proofErr w:type="spellStart"/>
      <w:r w:rsidRPr="00B74333">
        <w:rPr>
          <w:rFonts w:cstheme="minorHAnsi"/>
        </w:rPr>
        <w:t>Νo</w:t>
      </w:r>
      <w:proofErr w:type="spellEnd"/>
      <w:r w:rsidR="00096BFF" w:rsidRPr="00B74333">
        <w:rPr>
          <w:rFonts w:cstheme="minorHAnsi"/>
        </w:rPr>
        <w:t>.</w:t>
      </w:r>
      <w:r w:rsidRPr="00B74333">
        <w:rPr>
          <w:rFonts w:cstheme="minorHAnsi"/>
        </w:rPr>
        <w:t xml:space="preserve"> </w:t>
      </w:r>
      <w:r w:rsidR="004A5718" w:rsidRPr="00B74333">
        <w:rPr>
          <w:rFonts w:cstheme="minorHAnsi"/>
        </w:rPr>
        <w:t xml:space="preserve">Ε-94/2024 </w:t>
      </w:r>
      <w:r w:rsidR="00BD2BDD" w:rsidRPr="00B74333">
        <w:rPr>
          <w:rFonts w:cstheme="minorHAnsi"/>
        </w:rPr>
        <w:t xml:space="preserve">and Decision </w:t>
      </w:r>
      <w:proofErr w:type="spellStart"/>
      <w:r w:rsidR="00BD2BDD" w:rsidRPr="00B74333">
        <w:rPr>
          <w:rFonts w:cstheme="minorHAnsi"/>
        </w:rPr>
        <w:t>Νo</w:t>
      </w:r>
      <w:proofErr w:type="spellEnd"/>
      <w:r w:rsidR="00096BFF" w:rsidRPr="00B74333">
        <w:rPr>
          <w:rFonts w:cstheme="minorHAnsi"/>
        </w:rPr>
        <w:t>.</w:t>
      </w:r>
      <w:r w:rsidR="004A5718" w:rsidRPr="00B74333">
        <w:rPr>
          <w:rFonts w:cstheme="minorHAnsi"/>
        </w:rPr>
        <w:t xml:space="preserve"> Ε-95/2024</w:t>
      </w:r>
      <w:r w:rsidR="00BD2BDD" w:rsidRPr="00B74333">
        <w:rPr>
          <w:rFonts w:cstheme="minorHAnsi"/>
        </w:rPr>
        <w:t xml:space="preserve"> respectively and by the Energy and Water Regulatory Commission of Bulgaria (EWRC) by its Decision </w:t>
      </w:r>
      <w:proofErr w:type="spellStart"/>
      <w:r w:rsidR="00BD2BDD" w:rsidRPr="00B74333">
        <w:rPr>
          <w:rFonts w:cstheme="minorHAnsi"/>
        </w:rPr>
        <w:t>Νo</w:t>
      </w:r>
      <w:proofErr w:type="spellEnd"/>
      <w:r w:rsidR="00096BFF" w:rsidRPr="00B74333">
        <w:rPr>
          <w:rFonts w:cstheme="minorHAnsi"/>
        </w:rPr>
        <w:t>.</w:t>
      </w:r>
      <w:r w:rsidRPr="00B74333" w:rsidDel="006605AA">
        <w:rPr>
          <w:rFonts w:cstheme="minorHAnsi"/>
        </w:rPr>
        <w:t xml:space="preserve"> </w:t>
      </w:r>
      <w:r w:rsidR="006605AA" w:rsidRPr="00B74333">
        <w:rPr>
          <w:rFonts w:cstheme="minorHAnsi"/>
        </w:rPr>
        <w:t xml:space="preserve">ПДК-4/26.04.2024 </w:t>
      </w:r>
      <w:r w:rsidR="00BD2BDD" w:rsidRPr="00B74333">
        <w:rPr>
          <w:rFonts w:cstheme="minorHAnsi"/>
        </w:rPr>
        <w:t xml:space="preserve">and Decision </w:t>
      </w:r>
      <w:proofErr w:type="spellStart"/>
      <w:r w:rsidR="00BD2BDD" w:rsidRPr="00B74333">
        <w:rPr>
          <w:rFonts w:cstheme="minorHAnsi"/>
        </w:rPr>
        <w:t>Νo</w:t>
      </w:r>
      <w:proofErr w:type="spellEnd"/>
      <w:r w:rsidR="00096BFF" w:rsidRPr="00B74333">
        <w:rPr>
          <w:rFonts w:cstheme="minorHAnsi"/>
        </w:rPr>
        <w:t>.</w:t>
      </w:r>
      <w:r w:rsidR="006605AA" w:rsidRPr="00B74333">
        <w:rPr>
          <w:rFonts w:cstheme="minorHAnsi"/>
        </w:rPr>
        <w:t xml:space="preserve"> </w:t>
      </w:r>
      <w:r w:rsidR="00174FBA" w:rsidRPr="00B74333">
        <w:rPr>
          <w:rFonts w:cstheme="minorHAnsi"/>
        </w:rPr>
        <w:t>PDC</w:t>
      </w:r>
      <w:r w:rsidR="00BD2BDD" w:rsidRPr="00B74333">
        <w:rPr>
          <w:rFonts w:cstheme="minorHAnsi"/>
        </w:rPr>
        <w:t>–</w:t>
      </w:r>
      <w:r w:rsidR="00174FBA" w:rsidRPr="00B74333">
        <w:rPr>
          <w:rFonts w:cstheme="minorHAnsi"/>
        </w:rPr>
        <w:t>1/</w:t>
      </w:r>
      <w:r w:rsidR="00767658" w:rsidRPr="00B74333">
        <w:rPr>
          <w:rFonts w:cstheme="minorHAnsi"/>
        </w:rPr>
        <w:t>26.04.2024</w:t>
      </w:r>
      <w:r w:rsidRPr="00B74333">
        <w:rPr>
          <w:rFonts w:cstheme="minorHAnsi"/>
        </w:rPr>
        <w:t xml:space="preserve"> respectively</w:t>
      </w:r>
      <w:r w:rsidRPr="00B74333">
        <w:rPr>
          <w:rFonts w:eastAsia="Times New Roman" w:cstheme="minorHAnsi"/>
        </w:rPr>
        <w:t>.</w:t>
      </w:r>
    </w:p>
    <w:p w14:paraId="39EB60BF" w14:textId="77777777" w:rsidR="00312023" w:rsidRPr="00B74333" w:rsidRDefault="00312023" w:rsidP="00571502">
      <w:pPr>
        <w:suppressAutoHyphens/>
        <w:spacing w:after="0" w:line="260" w:lineRule="exact"/>
        <w:ind w:left="720"/>
        <w:jc w:val="both"/>
        <w:rPr>
          <w:rFonts w:eastAsia="Times New Roman" w:cstheme="minorHAnsi"/>
        </w:rPr>
      </w:pPr>
    </w:p>
    <w:p w14:paraId="15EB5854" w14:textId="145FDE85" w:rsidR="00312023" w:rsidRPr="00B74333" w:rsidRDefault="00312023" w:rsidP="00571502">
      <w:pPr>
        <w:suppressAutoHyphens/>
        <w:spacing w:after="0" w:line="260" w:lineRule="exact"/>
        <w:ind w:left="720"/>
        <w:jc w:val="both"/>
        <w:rPr>
          <w:rFonts w:eastAsia="Times New Roman" w:cstheme="minorHAnsi"/>
        </w:rPr>
      </w:pPr>
      <w:r w:rsidRPr="00B74333">
        <w:rPr>
          <w:rFonts w:eastAsia="Times New Roman" w:cstheme="minorHAnsi"/>
        </w:rPr>
        <w:t>(</w:t>
      </w:r>
      <w:r w:rsidR="00A974E0" w:rsidRPr="00B74333">
        <w:rPr>
          <w:rFonts w:eastAsia="Times New Roman" w:cstheme="minorHAnsi"/>
        </w:rPr>
        <w:t>e</w:t>
      </w:r>
      <w:r w:rsidRPr="00B74333">
        <w:rPr>
          <w:rFonts w:eastAsia="Times New Roman" w:cstheme="minorHAnsi"/>
        </w:rPr>
        <w:t xml:space="preserve">) </w:t>
      </w:r>
      <w:r w:rsidRPr="00B74333">
        <w:rPr>
          <w:rFonts w:eastAsia="Times New Roman" w:cstheme="minorHAnsi"/>
          <w:b/>
        </w:rPr>
        <w:t>“TSOs”</w:t>
      </w:r>
      <w:r w:rsidRPr="00B74333">
        <w:rPr>
          <w:rFonts w:eastAsia="Times New Roman" w:cstheme="minorHAnsi"/>
        </w:rPr>
        <w:t xml:space="preserve"> means the concerned TSOs</w:t>
      </w:r>
      <w:r w:rsidRPr="00B74333">
        <w:rPr>
          <w:rFonts w:cstheme="minorHAnsi"/>
        </w:rPr>
        <w:t xml:space="preserve"> in the </w:t>
      </w:r>
      <w:r w:rsidRPr="00B74333">
        <w:rPr>
          <w:rFonts w:eastAsia="Times New Roman" w:cstheme="minorHAnsi"/>
        </w:rPr>
        <w:t xml:space="preserve">Incremental Capacity Process, namely </w:t>
      </w:r>
      <w:r w:rsidR="00CF4F57" w:rsidRPr="00B74333">
        <w:rPr>
          <w:rFonts w:eastAsia="Times New Roman" w:cstheme="minorHAnsi"/>
        </w:rPr>
        <w:t>ICGB</w:t>
      </w:r>
      <w:r w:rsidRPr="00B74333">
        <w:rPr>
          <w:rFonts w:eastAsia="Times New Roman" w:cstheme="minorHAnsi"/>
        </w:rPr>
        <w:t xml:space="preserve">, </w:t>
      </w:r>
      <w:r w:rsidR="00CF4F57" w:rsidRPr="00B74333">
        <w:rPr>
          <w:rFonts w:eastAsia="Times New Roman" w:cstheme="minorHAnsi"/>
        </w:rPr>
        <w:t>BULGARTRANSGAZ</w:t>
      </w:r>
      <w:r w:rsidRPr="00B74333">
        <w:rPr>
          <w:rFonts w:eastAsia="Times New Roman" w:cstheme="minorHAnsi"/>
        </w:rPr>
        <w:t xml:space="preserve"> and DESFA.</w:t>
      </w:r>
    </w:p>
    <w:p w14:paraId="00A8594C" w14:textId="77777777" w:rsidR="00312023" w:rsidRPr="00B74333" w:rsidRDefault="00312023" w:rsidP="00571502">
      <w:pPr>
        <w:suppressAutoHyphens/>
        <w:spacing w:after="0" w:line="260" w:lineRule="exact"/>
        <w:ind w:left="720"/>
        <w:jc w:val="both"/>
        <w:rPr>
          <w:rFonts w:eastAsia="Times New Roman" w:cstheme="minorHAnsi"/>
        </w:rPr>
      </w:pPr>
    </w:p>
    <w:p w14:paraId="557676B9" w14:textId="3CE84AA4" w:rsidR="00312023" w:rsidRPr="00B74333" w:rsidRDefault="00312023" w:rsidP="00571502">
      <w:pPr>
        <w:suppressAutoHyphens/>
        <w:spacing w:after="0" w:line="260" w:lineRule="exact"/>
        <w:ind w:left="720"/>
        <w:jc w:val="both"/>
        <w:rPr>
          <w:rFonts w:eastAsia="Times New Roman" w:cstheme="minorHAnsi"/>
        </w:rPr>
      </w:pPr>
      <w:r w:rsidRPr="00B74333">
        <w:rPr>
          <w:rFonts w:eastAsia="Times New Roman" w:cstheme="minorHAnsi"/>
        </w:rPr>
        <w:t>(</w:t>
      </w:r>
      <w:r w:rsidR="00A974E0" w:rsidRPr="00B74333">
        <w:rPr>
          <w:rFonts w:eastAsia="Times New Roman" w:cstheme="minorHAnsi"/>
        </w:rPr>
        <w:t>f</w:t>
      </w:r>
      <w:r w:rsidRPr="00B74333">
        <w:rPr>
          <w:rFonts w:eastAsia="Times New Roman" w:cstheme="minorHAnsi"/>
        </w:rPr>
        <w:t>) “</w:t>
      </w:r>
      <w:r w:rsidRPr="00B74333">
        <w:rPr>
          <w:rFonts w:eastAsia="Times New Roman" w:cstheme="minorHAnsi"/>
          <w:b/>
        </w:rPr>
        <w:t>Recipient</w:t>
      </w:r>
      <w:r w:rsidRPr="00B74333">
        <w:rPr>
          <w:rFonts w:eastAsia="Times New Roman" w:cstheme="minorHAnsi"/>
        </w:rPr>
        <w:t>” means the Party receiving Confidential Information.</w:t>
      </w:r>
    </w:p>
    <w:p w14:paraId="1B147017" w14:textId="77777777" w:rsidR="00312023" w:rsidRPr="00B74333" w:rsidRDefault="00312023" w:rsidP="00312023">
      <w:pPr>
        <w:suppressAutoHyphens/>
        <w:spacing w:after="0" w:line="260" w:lineRule="exact"/>
        <w:jc w:val="both"/>
        <w:rPr>
          <w:rFonts w:eastAsia="Times New Roman" w:cstheme="minorHAnsi"/>
        </w:rPr>
      </w:pPr>
    </w:p>
    <w:p w14:paraId="7A1CD108" w14:textId="77777777" w:rsidR="00312023" w:rsidRPr="00B74333" w:rsidRDefault="00312023" w:rsidP="00312023">
      <w:pPr>
        <w:suppressAutoHyphens/>
        <w:spacing w:after="0" w:line="260" w:lineRule="exact"/>
        <w:jc w:val="both"/>
        <w:rPr>
          <w:rFonts w:eastAsia="Times New Roman" w:cstheme="minorHAnsi"/>
          <w:b/>
        </w:rPr>
      </w:pPr>
    </w:p>
    <w:p w14:paraId="3E8C2654"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2. DISCLOSURE</w:t>
      </w:r>
    </w:p>
    <w:p w14:paraId="21A73943" w14:textId="77777777" w:rsidR="00312023" w:rsidRPr="00B74333" w:rsidRDefault="00312023" w:rsidP="00312023">
      <w:pPr>
        <w:suppressAutoHyphens/>
        <w:spacing w:after="0" w:line="260" w:lineRule="exact"/>
        <w:jc w:val="both"/>
        <w:rPr>
          <w:rFonts w:eastAsia="Times New Roman" w:cstheme="minorHAnsi"/>
        </w:rPr>
      </w:pPr>
    </w:p>
    <w:p w14:paraId="274C8387"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2.1. The Recipient undertakes to hold Disclosing Party’s Confidential Information in strict confidence and shall not at any time disclose or make available any such Confidential Information to any third party, except as specifically authorized in advance by Disclosing Party in writing.</w:t>
      </w:r>
    </w:p>
    <w:p w14:paraId="3D5E90C2" w14:textId="77777777" w:rsidR="00312023" w:rsidRPr="00B74333" w:rsidRDefault="00312023" w:rsidP="00312023">
      <w:pPr>
        <w:suppressAutoHyphens/>
        <w:spacing w:after="0" w:line="260" w:lineRule="exact"/>
        <w:jc w:val="both"/>
        <w:rPr>
          <w:rFonts w:eastAsia="Times New Roman" w:cstheme="minorHAnsi"/>
        </w:rPr>
      </w:pPr>
    </w:p>
    <w:p w14:paraId="6FE43D96" w14:textId="754EBC83"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2.2. The Recipient undertakes not to use any of Disclosing Party’s Confidential Information for any purpose other than the </w:t>
      </w:r>
      <w:r w:rsidR="008C67F1" w:rsidRPr="00B74333">
        <w:rPr>
          <w:rFonts w:eastAsia="Times New Roman" w:cstheme="minorHAnsi"/>
        </w:rPr>
        <w:t>Market Test</w:t>
      </w:r>
      <w:r w:rsidRPr="00B74333">
        <w:rPr>
          <w:rFonts w:eastAsia="Times New Roman" w:cstheme="minorHAnsi"/>
        </w:rPr>
        <w:t xml:space="preserve"> Process. Recipient agrees that this provision includes a prohibition against the direct or indirect use of any of Disclosing Party’s Confidential Information to develop, enhance or add features to any product, service, </w:t>
      </w:r>
      <w:proofErr w:type="gramStart"/>
      <w:r w:rsidRPr="00B74333">
        <w:rPr>
          <w:rFonts w:eastAsia="Times New Roman" w:cstheme="minorHAnsi"/>
        </w:rPr>
        <w:t>technology</w:t>
      </w:r>
      <w:proofErr w:type="gramEnd"/>
      <w:r w:rsidRPr="00B74333">
        <w:rPr>
          <w:rFonts w:eastAsia="Times New Roman" w:cstheme="minorHAnsi"/>
        </w:rPr>
        <w:t xml:space="preserve"> or software or use such to disclose to, advice, assist or consult with any gas supplier, gas shipper, gas network user or competitor of the Disclosing Party.</w:t>
      </w:r>
    </w:p>
    <w:p w14:paraId="221B9EE7" w14:textId="77777777" w:rsidR="00312023" w:rsidRPr="00B74333" w:rsidRDefault="00312023" w:rsidP="00312023">
      <w:pPr>
        <w:suppressAutoHyphens/>
        <w:spacing w:after="0" w:line="260" w:lineRule="exact"/>
        <w:jc w:val="both"/>
        <w:rPr>
          <w:rFonts w:eastAsia="Times New Roman" w:cstheme="minorHAnsi"/>
        </w:rPr>
      </w:pPr>
    </w:p>
    <w:p w14:paraId="18ABBDB1"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2.3. The Recipient undertakes to use all reasonable precautions to prevent the unauthorized disclosure or use of Disclosing Party’s Confidential Information and shall ensure proper and secure storage of all such Confidential Information and any copies thereof to at least the same standard as the Recipient keeps its own Confidential Information.  </w:t>
      </w:r>
    </w:p>
    <w:p w14:paraId="0F98E481" w14:textId="77777777" w:rsidR="00312023" w:rsidRPr="00B74333" w:rsidRDefault="00312023" w:rsidP="00312023">
      <w:pPr>
        <w:suppressAutoHyphens/>
        <w:spacing w:after="0" w:line="260" w:lineRule="exact"/>
        <w:jc w:val="both"/>
        <w:rPr>
          <w:rFonts w:eastAsia="Times New Roman" w:cstheme="minorHAnsi"/>
        </w:rPr>
      </w:pPr>
    </w:p>
    <w:p w14:paraId="7782DAFD"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2.4. The Recipient may disclose Disclosing Party’s Confidential Information:</w:t>
      </w:r>
    </w:p>
    <w:p w14:paraId="7218099A" w14:textId="77777777" w:rsidR="00312023" w:rsidRPr="00B74333" w:rsidRDefault="00312023" w:rsidP="00312023">
      <w:pPr>
        <w:suppressAutoHyphens/>
        <w:spacing w:after="0" w:line="260" w:lineRule="exact"/>
        <w:jc w:val="both"/>
        <w:rPr>
          <w:rFonts w:eastAsia="Times New Roman" w:cstheme="minorHAnsi"/>
        </w:rPr>
      </w:pPr>
    </w:p>
    <w:p w14:paraId="1F355627"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(a) to the Recipient´s regulatory authority (i.e. Hellenic Regulatory Authority for Waste, Energy and Water) or the European Commission, in accordance with the provisions of the Recipient´s national legislation and the provisions of European Union </w:t>
      </w:r>
      <w:proofErr w:type="gramStart"/>
      <w:r w:rsidRPr="00B74333">
        <w:rPr>
          <w:rFonts w:eastAsia="Times New Roman" w:cstheme="minorHAnsi"/>
        </w:rPr>
        <w:t>law;</w:t>
      </w:r>
      <w:proofErr w:type="gramEnd"/>
    </w:p>
    <w:p w14:paraId="5C36DDB9" w14:textId="77777777" w:rsidR="00312023" w:rsidRPr="00B74333" w:rsidRDefault="00312023" w:rsidP="00312023">
      <w:pPr>
        <w:suppressAutoHyphens/>
        <w:spacing w:after="0" w:line="260" w:lineRule="exact"/>
        <w:jc w:val="both"/>
        <w:rPr>
          <w:rFonts w:eastAsia="Times New Roman" w:cstheme="minorHAnsi"/>
        </w:rPr>
      </w:pPr>
    </w:p>
    <w:p w14:paraId="3FE4EDF4"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(b) to the Recipient's auditors, professional advisers and financial institutions and any other person having a legal right or duty to have access to or knowledge of such Confidential Information in connection with the business of the </w:t>
      </w:r>
      <w:proofErr w:type="gramStart"/>
      <w:r w:rsidRPr="00B74333">
        <w:rPr>
          <w:rFonts w:eastAsia="Times New Roman" w:cstheme="minorHAnsi"/>
        </w:rPr>
        <w:t>Recipient;</w:t>
      </w:r>
      <w:proofErr w:type="gramEnd"/>
    </w:p>
    <w:p w14:paraId="4C898B1F" w14:textId="77777777" w:rsidR="00312023" w:rsidRPr="00B74333" w:rsidRDefault="00312023" w:rsidP="00312023">
      <w:pPr>
        <w:suppressAutoHyphens/>
        <w:spacing w:after="0" w:line="260" w:lineRule="exact"/>
        <w:jc w:val="both"/>
        <w:rPr>
          <w:rFonts w:eastAsia="Times New Roman" w:cstheme="minorHAnsi"/>
        </w:rPr>
      </w:pPr>
    </w:p>
    <w:p w14:paraId="53AB0A2A" w14:textId="68A2F0DD"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(c) to the Recipient’s directors and members of its corporate bodies and its employees and agents for the purposes of obtaining any relevant corporate authorization required under its governance rules in connection with the </w:t>
      </w:r>
      <w:r w:rsidR="00544F9D" w:rsidRPr="00B74333">
        <w:rPr>
          <w:rFonts w:eastAsia="Times New Roman" w:cstheme="minorHAnsi"/>
        </w:rPr>
        <w:t>Market Test</w:t>
      </w:r>
      <w:r w:rsidRPr="00B74333">
        <w:rPr>
          <w:rFonts w:eastAsia="Times New Roman" w:cstheme="minorHAnsi"/>
        </w:rPr>
        <w:t xml:space="preserve"> </w:t>
      </w:r>
      <w:proofErr w:type="gramStart"/>
      <w:r w:rsidRPr="00B74333">
        <w:rPr>
          <w:rFonts w:eastAsia="Times New Roman" w:cstheme="minorHAnsi"/>
        </w:rPr>
        <w:t>Process;</w:t>
      </w:r>
      <w:proofErr w:type="gramEnd"/>
    </w:p>
    <w:p w14:paraId="63B1C84B"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ab/>
      </w:r>
    </w:p>
    <w:p w14:paraId="365DD9B0"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(d) if the Recipient is required to disclose by applicable law or order of a court of competent jurisdiction or other government body, department or </w:t>
      </w:r>
      <w:proofErr w:type="gramStart"/>
      <w:r w:rsidRPr="00B74333">
        <w:rPr>
          <w:rFonts w:eastAsia="Times New Roman" w:cstheme="minorHAnsi"/>
        </w:rPr>
        <w:t>agency;</w:t>
      </w:r>
      <w:proofErr w:type="gramEnd"/>
    </w:p>
    <w:p w14:paraId="4974F2C1" w14:textId="77777777" w:rsidR="00312023" w:rsidRPr="00B74333" w:rsidRDefault="00312023" w:rsidP="00312023">
      <w:pPr>
        <w:suppressAutoHyphens/>
        <w:spacing w:after="0" w:line="260" w:lineRule="exact"/>
        <w:jc w:val="both"/>
        <w:rPr>
          <w:rFonts w:eastAsia="Times New Roman" w:cstheme="minorHAnsi"/>
        </w:rPr>
      </w:pPr>
    </w:p>
    <w:p w14:paraId="2691AA56" w14:textId="35BF55D4"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(e) to the concerned TSO’s.</w:t>
      </w:r>
    </w:p>
    <w:p w14:paraId="3D405F03" w14:textId="77777777" w:rsidR="00312023" w:rsidRPr="00B74333" w:rsidRDefault="00312023" w:rsidP="00312023">
      <w:pPr>
        <w:suppressAutoHyphens/>
        <w:spacing w:after="0" w:line="260" w:lineRule="exact"/>
        <w:jc w:val="both"/>
        <w:rPr>
          <w:rFonts w:eastAsia="Times New Roman" w:cstheme="minorHAnsi"/>
        </w:rPr>
      </w:pPr>
    </w:p>
    <w:p w14:paraId="6989D1A6"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2.5. Regarding clause 2.4. (b) and (c) the Recipient may disclose Disclosing Party’s Confidential Information, only to the extent necessary to perform their respective duties and in such event shall inform each of said auditors, professional advisers, persons or bodies, directors, </w:t>
      </w:r>
      <w:proofErr w:type="gramStart"/>
      <w:r w:rsidRPr="00B74333">
        <w:rPr>
          <w:rFonts w:eastAsia="Times New Roman" w:cstheme="minorHAnsi"/>
        </w:rPr>
        <w:t>employees</w:t>
      </w:r>
      <w:proofErr w:type="gramEnd"/>
      <w:r w:rsidRPr="00B74333">
        <w:rPr>
          <w:rFonts w:eastAsia="Times New Roman" w:cstheme="minorHAnsi"/>
        </w:rPr>
        <w:t xml:space="preserve"> and agents of the confidential nature of the Confidential Information and the Recipient´s obligations in respect thereof. If the Recipient discloses information in accordance with clause 2.4. (b) and (c) above, it shall assume full responsibility for any breach by such auditors, professional advisors, persons or bodies, directors, </w:t>
      </w:r>
      <w:proofErr w:type="gramStart"/>
      <w:r w:rsidRPr="00B74333">
        <w:rPr>
          <w:rFonts w:eastAsia="Times New Roman" w:cstheme="minorHAnsi"/>
        </w:rPr>
        <w:t>employees</w:t>
      </w:r>
      <w:proofErr w:type="gramEnd"/>
      <w:r w:rsidRPr="00B74333">
        <w:rPr>
          <w:rFonts w:eastAsia="Times New Roman" w:cstheme="minorHAnsi"/>
        </w:rPr>
        <w:t xml:space="preserve"> and agents of the terms of this Agreement.</w:t>
      </w:r>
    </w:p>
    <w:p w14:paraId="673CCC28" w14:textId="77777777" w:rsidR="00312023" w:rsidRPr="00B74333" w:rsidRDefault="00312023" w:rsidP="00312023">
      <w:pPr>
        <w:suppressAutoHyphens/>
        <w:spacing w:after="0" w:line="260" w:lineRule="exact"/>
        <w:jc w:val="both"/>
        <w:rPr>
          <w:rFonts w:eastAsia="Times New Roman" w:cstheme="minorHAnsi"/>
        </w:rPr>
      </w:pPr>
    </w:p>
    <w:p w14:paraId="2271083A" w14:textId="4DFF311D"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2.6. Regarding clause 2.4. (a) and (d) the Recipient shall if reasonably possible first inform the Disclosing Party in writing before any disclosure under such order or obligation is made if lawfully permitted to do so.</w:t>
      </w:r>
    </w:p>
    <w:p w14:paraId="65556FE9" w14:textId="77777777" w:rsidR="00312023" w:rsidRPr="00B74333" w:rsidRDefault="00312023" w:rsidP="00312023">
      <w:pPr>
        <w:suppressAutoHyphens/>
        <w:spacing w:after="0" w:line="260" w:lineRule="exact"/>
        <w:jc w:val="both"/>
        <w:rPr>
          <w:rFonts w:eastAsia="Times New Roman" w:cstheme="minorHAnsi"/>
        </w:rPr>
      </w:pPr>
    </w:p>
    <w:p w14:paraId="19B32B7E" w14:textId="77777777" w:rsidR="00312023" w:rsidRPr="00B74333" w:rsidRDefault="00312023" w:rsidP="00312023">
      <w:pPr>
        <w:suppressAutoHyphens/>
        <w:spacing w:after="0" w:line="260" w:lineRule="exact"/>
        <w:jc w:val="both"/>
        <w:rPr>
          <w:rFonts w:eastAsia="Times New Roman" w:cstheme="minorHAnsi"/>
        </w:rPr>
      </w:pPr>
    </w:p>
    <w:p w14:paraId="09983F31"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b/>
        </w:rPr>
        <w:t>3. EXCLUSIONS</w:t>
      </w:r>
    </w:p>
    <w:p w14:paraId="30BCFA0B" w14:textId="77777777" w:rsidR="00312023" w:rsidRPr="00B74333" w:rsidRDefault="00312023" w:rsidP="00312023">
      <w:pPr>
        <w:suppressAutoHyphens/>
        <w:spacing w:after="0" w:line="260" w:lineRule="exact"/>
        <w:jc w:val="both"/>
        <w:rPr>
          <w:rFonts w:eastAsia="Times New Roman" w:cstheme="minorHAnsi"/>
        </w:rPr>
      </w:pPr>
    </w:p>
    <w:p w14:paraId="5CD13729"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The obligations of confidentiality in Clause 2 above shall not apply to any information that:</w:t>
      </w:r>
    </w:p>
    <w:p w14:paraId="613DFE74" w14:textId="77777777" w:rsidR="00312023" w:rsidRPr="00B74333" w:rsidRDefault="00312023" w:rsidP="00312023">
      <w:pPr>
        <w:suppressAutoHyphens/>
        <w:spacing w:after="0" w:line="260" w:lineRule="exact"/>
        <w:jc w:val="both"/>
        <w:rPr>
          <w:rFonts w:eastAsia="Times New Roman" w:cstheme="minorHAnsi"/>
        </w:rPr>
      </w:pPr>
    </w:p>
    <w:p w14:paraId="22578AD3"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(a) is at the date of its disclosure generally known or widely available to the public, or which subsequently becomes generally known or widely available to the public other than by an act or failure to act on the part of the Recipient or persons for whom the Recipient has assumed responsibility under this </w:t>
      </w:r>
      <w:proofErr w:type="gramStart"/>
      <w:r w:rsidRPr="00B74333">
        <w:rPr>
          <w:rFonts w:eastAsia="Times New Roman" w:cstheme="minorHAnsi"/>
        </w:rPr>
        <w:t>Agreement;</w:t>
      </w:r>
      <w:proofErr w:type="gramEnd"/>
    </w:p>
    <w:p w14:paraId="13757C99" w14:textId="77777777" w:rsidR="00312023" w:rsidRPr="00B74333" w:rsidRDefault="00312023" w:rsidP="00312023">
      <w:pPr>
        <w:suppressAutoHyphens/>
        <w:spacing w:after="0" w:line="260" w:lineRule="exact"/>
        <w:jc w:val="both"/>
        <w:rPr>
          <w:rFonts w:eastAsia="Times New Roman" w:cstheme="minorHAnsi"/>
        </w:rPr>
      </w:pPr>
    </w:p>
    <w:p w14:paraId="1D39B90C"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(b) was known by the Recipient prior to receiving such information or materials from the Disclosing </w:t>
      </w:r>
      <w:proofErr w:type="gramStart"/>
      <w:r w:rsidRPr="00B74333">
        <w:rPr>
          <w:rFonts w:eastAsia="Times New Roman" w:cstheme="minorHAnsi"/>
        </w:rPr>
        <w:t>Party;</w:t>
      </w:r>
      <w:proofErr w:type="gramEnd"/>
      <w:r w:rsidRPr="00B74333">
        <w:rPr>
          <w:rFonts w:eastAsia="Times New Roman" w:cstheme="minorHAnsi"/>
        </w:rPr>
        <w:t xml:space="preserve"> </w:t>
      </w:r>
    </w:p>
    <w:p w14:paraId="4A7CD56E" w14:textId="77777777" w:rsidR="00312023" w:rsidRPr="00B74333" w:rsidRDefault="00312023" w:rsidP="00312023">
      <w:pPr>
        <w:suppressAutoHyphens/>
        <w:spacing w:after="0" w:line="260" w:lineRule="exact"/>
        <w:jc w:val="both"/>
        <w:rPr>
          <w:rFonts w:eastAsia="Times New Roman" w:cstheme="minorHAnsi"/>
        </w:rPr>
      </w:pPr>
    </w:p>
    <w:p w14:paraId="3214AF29"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(c) at any time after the Effective Date has been acquired by the Recipient from any third party who did not acquire such information directly or indirectly from the Disclosing Party or any of its </w:t>
      </w:r>
      <w:proofErr w:type="gramStart"/>
      <w:r w:rsidRPr="00B74333">
        <w:rPr>
          <w:rFonts w:eastAsia="Times New Roman" w:cstheme="minorHAnsi"/>
        </w:rPr>
        <w:t>employees;</w:t>
      </w:r>
      <w:proofErr w:type="gramEnd"/>
    </w:p>
    <w:p w14:paraId="5E907556" w14:textId="77777777" w:rsidR="00312023" w:rsidRPr="00B74333" w:rsidRDefault="00312023" w:rsidP="00312023">
      <w:pPr>
        <w:suppressAutoHyphens/>
        <w:spacing w:after="0" w:line="260" w:lineRule="exact"/>
        <w:jc w:val="both"/>
        <w:rPr>
          <w:rFonts w:eastAsia="Times New Roman" w:cstheme="minorHAnsi"/>
        </w:rPr>
      </w:pPr>
    </w:p>
    <w:p w14:paraId="66F23BFB"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lastRenderedPageBreak/>
        <w:t xml:space="preserve">(d) was or is independently developed by the Recipient, its employees, agents, </w:t>
      </w:r>
      <w:proofErr w:type="gramStart"/>
      <w:r w:rsidRPr="00B74333">
        <w:rPr>
          <w:rFonts w:eastAsia="Times New Roman" w:cstheme="minorHAnsi"/>
        </w:rPr>
        <w:t>consultants</w:t>
      </w:r>
      <w:proofErr w:type="gramEnd"/>
      <w:r w:rsidRPr="00B74333">
        <w:rPr>
          <w:rFonts w:eastAsia="Times New Roman" w:cstheme="minorHAnsi"/>
        </w:rPr>
        <w:t xml:space="preserve"> or other representatives without the use of Confidential Information.</w:t>
      </w:r>
    </w:p>
    <w:p w14:paraId="75F400EB" w14:textId="77777777" w:rsidR="00312023" w:rsidRPr="00B74333" w:rsidRDefault="00312023" w:rsidP="00312023">
      <w:pPr>
        <w:suppressAutoHyphens/>
        <w:spacing w:after="0" w:line="260" w:lineRule="exact"/>
        <w:jc w:val="both"/>
        <w:rPr>
          <w:rFonts w:eastAsia="Times New Roman" w:cstheme="minorHAnsi"/>
        </w:rPr>
      </w:pPr>
    </w:p>
    <w:p w14:paraId="2CD4376D"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ab/>
      </w:r>
    </w:p>
    <w:p w14:paraId="645F1468"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4. OWNERSHIP OF CONFIDENTIAL INFORMATION</w:t>
      </w:r>
    </w:p>
    <w:p w14:paraId="2E9EC262" w14:textId="77777777" w:rsidR="00312023" w:rsidRPr="00B74333" w:rsidRDefault="00312023" w:rsidP="00312023">
      <w:pPr>
        <w:suppressAutoHyphens/>
        <w:spacing w:after="0" w:line="260" w:lineRule="exact"/>
        <w:jc w:val="both"/>
        <w:rPr>
          <w:rFonts w:eastAsia="Times New Roman" w:cstheme="minorHAnsi"/>
        </w:rPr>
      </w:pPr>
    </w:p>
    <w:p w14:paraId="1B93F2F5" w14:textId="520C15C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Nothing in this Agreement shall be construed to grant Recipient any rights, by license or otherwise, to any Confidential Information, except as strictly necessary to fulfil the </w:t>
      </w:r>
      <w:r w:rsidR="00B6212E" w:rsidRPr="00B74333">
        <w:rPr>
          <w:rFonts w:eastAsia="Times New Roman" w:cstheme="minorHAnsi"/>
        </w:rPr>
        <w:t>Market Test</w:t>
      </w:r>
      <w:r w:rsidRPr="00B74333">
        <w:rPr>
          <w:rFonts w:eastAsia="Times New Roman" w:cstheme="minorHAnsi"/>
        </w:rPr>
        <w:t xml:space="preserve"> Process.</w:t>
      </w:r>
    </w:p>
    <w:p w14:paraId="15DC742D" w14:textId="77777777" w:rsidR="00312023" w:rsidRPr="00B74333" w:rsidRDefault="00312023" w:rsidP="00312023">
      <w:pPr>
        <w:suppressAutoHyphens/>
        <w:spacing w:after="0" w:line="260" w:lineRule="exact"/>
        <w:jc w:val="both"/>
        <w:rPr>
          <w:rFonts w:eastAsia="Times New Roman" w:cstheme="minorHAnsi"/>
        </w:rPr>
      </w:pPr>
    </w:p>
    <w:p w14:paraId="4561ADA7" w14:textId="77777777" w:rsidR="00312023" w:rsidRPr="00B74333" w:rsidRDefault="00312023" w:rsidP="00312023">
      <w:pPr>
        <w:suppressAutoHyphens/>
        <w:spacing w:after="0" w:line="260" w:lineRule="exact"/>
        <w:jc w:val="both"/>
        <w:rPr>
          <w:rFonts w:eastAsia="Times New Roman" w:cstheme="minorHAnsi"/>
        </w:rPr>
      </w:pPr>
    </w:p>
    <w:p w14:paraId="4F4FA833"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 xml:space="preserve">5. PERSONAL DATA </w:t>
      </w:r>
    </w:p>
    <w:p w14:paraId="3DF47FC6" w14:textId="77777777" w:rsidR="00312023" w:rsidRPr="00B74333" w:rsidRDefault="00312023" w:rsidP="00312023">
      <w:pPr>
        <w:suppressAutoHyphens/>
        <w:spacing w:after="0" w:line="260" w:lineRule="exact"/>
        <w:jc w:val="both"/>
        <w:rPr>
          <w:rFonts w:eastAsia="Times New Roman" w:cstheme="minorHAnsi"/>
        </w:rPr>
      </w:pPr>
    </w:p>
    <w:p w14:paraId="67D6A133" w14:textId="34AC50E1" w:rsidR="00312023" w:rsidRPr="00B74333" w:rsidRDefault="00312023" w:rsidP="001A64A1">
      <w:pPr>
        <w:tabs>
          <w:tab w:val="left" w:pos="4111"/>
        </w:tabs>
        <w:spacing w:after="0" w:line="240" w:lineRule="auto"/>
        <w:jc w:val="both"/>
        <w:rPr>
          <w:rFonts w:eastAsia="Times New Roman" w:cstheme="minorHAnsi"/>
        </w:rPr>
      </w:pPr>
      <w:r w:rsidRPr="00B74333">
        <w:rPr>
          <w:rFonts w:eastAsia="Times New Roman" w:cstheme="minorHAnsi"/>
        </w:rPr>
        <w:t xml:space="preserve">The Parties shall process personal data exchanged during the </w:t>
      </w:r>
      <w:r w:rsidR="00D534D4" w:rsidRPr="00B74333">
        <w:rPr>
          <w:rFonts w:eastAsia="Times New Roman" w:cstheme="minorHAnsi"/>
        </w:rPr>
        <w:t>Market Test</w:t>
      </w:r>
      <w:r w:rsidRPr="00B74333">
        <w:rPr>
          <w:rFonts w:eastAsia="Times New Roman" w:cstheme="minorHAnsi"/>
        </w:rPr>
        <w:t xml:space="preserve"> Process and under this Agreement during and for its performance (hereinafter referred to as "Personal Data") in accordance with the provisions of applicable legislation and today those of Regulation 2016/679/EU (hereinafter "General Regulation"). Personal data shall not be transmitted, </w:t>
      </w:r>
      <w:proofErr w:type="gramStart"/>
      <w:r w:rsidRPr="00B74333">
        <w:rPr>
          <w:rFonts w:eastAsia="Times New Roman" w:cstheme="minorHAnsi"/>
        </w:rPr>
        <w:t>disclosed</w:t>
      </w:r>
      <w:proofErr w:type="gramEnd"/>
      <w:r w:rsidRPr="00B74333">
        <w:rPr>
          <w:rFonts w:eastAsia="Times New Roman" w:cstheme="minorHAnsi"/>
        </w:rPr>
        <w:t xml:space="preserve"> or communicated to third parties, nor shall they be subject to any other processing for purposes other than the execution of the Agreement, except in cases of legal obligation or explicit consent of the data subject. The Company declares to have implemented relative data protection measures in compliance with the General Regulation. DESFA has implemented the data protection policy publicly available on DESFA’s corporate website</w:t>
      </w:r>
      <w:r w:rsidRPr="00B74333">
        <w:rPr>
          <w:rStyle w:val="FootnoteReference"/>
          <w:rFonts w:eastAsia="Times New Roman" w:cstheme="minorHAnsi"/>
        </w:rPr>
        <w:footnoteReference w:id="21"/>
      </w:r>
      <w:r w:rsidRPr="00B74333">
        <w:rPr>
          <w:rStyle w:val="Hyperlink"/>
          <w:rFonts w:cstheme="minorHAnsi"/>
        </w:rPr>
        <w:t>.</w:t>
      </w:r>
    </w:p>
    <w:p w14:paraId="2FF30C4D" w14:textId="77777777" w:rsidR="00312023" w:rsidRPr="00B74333" w:rsidRDefault="00312023" w:rsidP="00312023">
      <w:pPr>
        <w:spacing w:after="0" w:line="240" w:lineRule="auto"/>
        <w:jc w:val="both"/>
        <w:rPr>
          <w:rFonts w:eastAsia="Times New Roman" w:cstheme="minorHAnsi"/>
        </w:rPr>
      </w:pPr>
    </w:p>
    <w:p w14:paraId="1A2BB998" w14:textId="77777777" w:rsidR="00312023" w:rsidRPr="00B74333" w:rsidRDefault="00312023" w:rsidP="00312023">
      <w:pPr>
        <w:spacing w:after="0" w:line="240" w:lineRule="auto"/>
        <w:jc w:val="both"/>
        <w:rPr>
          <w:rFonts w:eastAsia="Times New Roman" w:cstheme="minorHAnsi"/>
        </w:rPr>
      </w:pPr>
    </w:p>
    <w:p w14:paraId="1A7BCAF9"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6. TERM</w:t>
      </w:r>
    </w:p>
    <w:p w14:paraId="1A266244" w14:textId="77777777" w:rsidR="00312023" w:rsidRPr="00B74333" w:rsidRDefault="00312023" w:rsidP="00312023">
      <w:pPr>
        <w:suppressAutoHyphens/>
        <w:spacing w:after="0" w:line="260" w:lineRule="exact"/>
        <w:jc w:val="both"/>
        <w:rPr>
          <w:rFonts w:eastAsia="Times New Roman" w:cstheme="minorHAnsi"/>
        </w:rPr>
      </w:pPr>
    </w:p>
    <w:p w14:paraId="4D9479D5"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6.1. This Agreement shall come into force on the Effective Date and shall expire without notice 3 (three) years after the Effective Date, unless mutually terminated earlier by the Parties. This agreement also applies to </w:t>
      </w:r>
      <w:proofErr w:type="gramStart"/>
      <w:r w:rsidRPr="00B74333">
        <w:rPr>
          <w:rFonts w:eastAsia="Times New Roman" w:cstheme="minorHAnsi"/>
        </w:rPr>
        <w:t>any and all</w:t>
      </w:r>
      <w:proofErr w:type="gramEnd"/>
      <w:r w:rsidRPr="00B74333">
        <w:rPr>
          <w:rFonts w:eastAsia="Times New Roman" w:cstheme="minorHAnsi"/>
        </w:rPr>
        <w:t xml:space="preserve"> successors of the Parties. </w:t>
      </w:r>
    </w:p>
    <w:p w14:paraId="5412C3E2" w14:textId="77777777" w:rsidR="00312023" w:rsidRPr="00B74333" w:rsidRDefault="00312023" w:rsidP="00312023">
      <w:pPr>
        <w:suppressAutoHyphens/>
        <w:spacing w:after="0" w:line="260" w:lineRule="exact"/>
        <w:jc w:val="both"/>
        <w:rPr>
          <w:rFonts w:eastAsia="Times New Roman" w:cstheme="minorHAnsi"/>
        </w:rPr>
      </w:pPr>
    </w:p>
    <w:p w14:paraId="6EF19754"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6.2. The obligations set forth in this Agreement shall survive termination or expiry for 2 (two) years.</w:t>
      </w:r>
    </w:p>
    <w:p w14:paraId="454776BD" w14:textId="77777777" w:rsidR="00312023" w:rsidRPr="00B74333" w:rsidRDefault="00312023" w:rsidP="00312023">
      <w:pPr>
        <w:suppressAutoHyphens/>
        <w:spacing w:after="0" w:line="260" w:lineRule="exact"/>
        <w:jc w:val="both"/>
        <w:rPr>
          <w:rFonts w:eastAsia="Times New Roman" w:cstheme="minorHAnsi"/>
        </w:rPr>
      </w:pPr>
    </w:p>
    <w:p w14:paraId="61A30900" w14:textId="77777777" w:rsidR="00312023" w:rsidRPr="00B74333" w:rsidRDefault="00312023" w:rsidP="00312023">
      <w:pPr>
        <w:suppressAutoHyphens/>
        <w:spacing w:after="0" w:line="260" w:lineRule="exact"/>
        <w:jc w:val="both"/>
        <w:rPr>
          <w:rFonts w:eastAsia="Times New Roman" w:cstheme="minorHAnsi"/>
        </w:rPr>
      </w:pPr>
    </w:p>
    <w:p w14:paraId="469D24C2"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7. GOVERNING LAW AND JURISDICTION</w:t>
      </w:r>
    </w:p>
    <w:p w14:paraId="15980590" w14:textId="77777777" w:rsidR="00312023" w:rsidRPr="00B74333" w:rsidRDefault="00312023" w:rsidP="00312023">
      <w:pPr>
        <w:suppressAutoHyphens/>
        <w:spacing w:after="0" w:line="260" w:lineRule="exact"/>
        <w:jc w:val="both"/>
        <w:rPr>
          <w:rFonts w:eastAsia="Times New Roman" w:cstheme="minorHAnsi"/>
        </w:rPr>
      </w:pPr>
    </w:p>
    <w:p w14:paraId="041A2C0C"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This Agreement shall be governed by and construed exclusively in accordance with the Laws of the Hellenic Republic. Any disputes arising out of or in connection with this Agreement (including its interpretation) shall be referred to the courts of Athens.</w:t>
      </w:r>
    </w:p>
    <w:p w14:paraId="7B188DD1" w14:textId="77777777" w:rsidR="00312023" w:rsidRPr="00B74333" w:rsidRDefault="00312023" w:rsidP="00312023">
      <w:pPr>
        <w:suppressAutoHyphens/>
        <w:spacing w:after="0" w:line="260" w:lineRule="exact"/>
        <w:jc w:val="both"/>
        <w:rPr>
          <w:rFonts w:eastAsia="Times New Roman" w:cstheme="minorHAnsi"/>
        </w:rPr>
      </w:pPr>
    </w:p>
    <w:p w14:paraId="7805735F" w14:textId="77777777" w:rsidR="00312023" w:rsidRPr="00B74333" w:rsidRDefault="00312023" w:rsidP="00312023">
      <w:pPr>
        <w:suppressAutoHyphens/>
        <w:spacing w:after="0" w:line="260" w:lineRule="exact"/>
        <w:jc w:val="both"/>
        <w:rPr>
          <w:rFonts w:eastAsia="Times New Roman" w:cstheme="minorHAnsi"/>
        </w:rPr>
      </w:pPr>
    </w:p>
    <w:p w14:paraId="04280BCF"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8. LIABILITY</w:t>
      </w:r>
    </w:p>
    <w:p w14:paraId="0F59C743"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8.1. Neither Party shall be liable to the other Party by way of indemnity </w:t>
      </w:r>
      <w:proofErr w:type="gramStart"/>
      <w:r w:rsidRPr="00B74333">
        <w:rPr>
          <w:rFonts w:eastAsia="Times New Roman" w:cstheme="minorHAnsi"/>
        </w:rPr>
        <w:t>as a result of</w:t>
      </w:r>
      <w:proofErr w:type="gramEnd"/>
      <w:r w:rsidRPr="00B74333">
        <w:rPr>
          <w:rFonts w:eastAsia="Times New Roman" w:cstheme="minorHAnsi"/>
        </w:rPr>
        <w:t xml:space="preserve"> breach of contract for any loss, damage or costs resulting from or arising out of or in connection with this Agreement, except where such loss, damage or costs arises out of or results from the willful misconduct or gross negligence of this Agreement by such Party.</w:t>
      </w:r>
    </w:p>
    <w:p w14:paraId="023E1EA0" w14:textId="77777777" w:rsidR="00312023" w:rsidRPr="00B74333" w:rsidRDefault="00312023" w:rsidP="00312023">
      <w:pPr>
        <w:suppressAutoHyphens/>
        <w:spacing w:after="0" w:line="260" w:lineRule="exact"/>
        <w:jc w:val="both"/>
        <w:rPr>
          <w:rFonts w:eastAsia="Times New Roman" w:cstheme="minorHAnsi"/>
        </w:rPr>
      </w:pPr>
    </w:p>
    <w:p w14:paraId="242985F7"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lastRenderedPageBreak/>
        <w:t xml:space="preserve">8.2. In no event shall either Party by way of indemnity </w:t>
      </w:r>
      <w:proofErr w:type="gramStart"/>
      <w:r w:rsidRPr="00B74333">
        <w:rPr>
          <w:rFonts w:eastAsia="Times New Roman" w:cstheme="minorHAnsi"/>
        </w:rPr>
        <w:t>as a result of</w:t>
      </w:r>
      <w:proofErr w:type="gramEnd"/>
      <w:r w:rsidRPr="00B74333">
        <w:rPr>
          <w:rFonts w:eastAsia="Times New Roman" w:cstheme="minorHAnsi"/>
        </w:rPr>
        <w:t xml:space="preserve"> breach of contract be liable to the other Party for any indirect or consequential losses, loss of contract, loss of profit, loss of opportunity, or loss of goodwill arising out of or in connection with this Agreement and each Party hereby releases the other Party from any liability for loss or damage as above.</w:t>
      </w:r>
    </w:p>
    <w:p w14:paraId="68052428" w14:textId="77777777" w:rsidR="00312023" w:rsidRPr="00B74333" w:rsidRDefault="00312023" w:rsidP="00312023">
      <w:pPr>
        <w:suppressAutoHyphens/>
        <w:spacing w:after="0" w:line="260" w:lineRule="exact"/>
        <w:jc w:val="both"/>
        <w:rPr>
          <w:rFonts w:eastAsia="Times New Roman" w:cstheme="minorHAnsi"/>
          <w:b/>
        </w:rPr>
      </w:pPr>
    </w:p>
    <w:p w14:paraId="3E18E23F" w14:textId="77777777" w:rsidR="00B744D5" w:rsidRPr="00B74333" w:rsidRDefault="00B744D5" w:rsidP="00312023">
      <w:pPr>
        <w:suppressAutoHyphens/>
        <w:spacing w:after="0" w:line="260" w:lineRule="exact"/>
        <w:jc w:val="both"/>
        <w:rPr>
          <w:rFonts w:eastAsia="Times New Roman" w:cstheme="minorHAnsi"/>
          <w:b/>
        </w:rPr>
      </w:pPr>
    </w:p>
    <w:p w14:paraId="2848F1B1" w14:textId="77777777" w:rsidR="00312023" w:rsidRPr="00B74333" w:rsidRDefault="00312023" w:rsidP="00312023">
      <w:pPr>
        <w:suppressAutoHyphens/>
        <w:spacing w:after="0" w:line="260" w:lineRule="exact"/>
        <w:jc w:val="both"/>
        <w:rPr>
          <w:rFonts w:eastAsia="Times New Roman" w:cstheme="minorHAnsi"/>
          <w:b/>
        </w:rPr>
      </w:pPr>
      <w:r w:rsidRPr="00B74333">
        <w:rPr>
          <w:rFonts w:eastAsia="Times New Roman" w:cstheme="minorHAnsi"/>
          <w:b/>
        </w:rPr>
        <w:t>9. MISCELLANEOUS</w:t>
      </w:r>
    </w:p>
    <w:p w14:paraId="116CE101" w14:textId="77777777" w:rsidR="00312023" w:rsidRPr="00B74333" w:rsidRDefault="00312023" w:rsidP="00312023">
      <w:pPr>
        <w:suppressAutoHyphens/>
        <w:spacing w:after="0" w:line="260" w:lineRule="exact"/>
        <w:jc w:val="both"/>
        <w:rPr>
          <w:rFonts w:eastAsia="Times New Roman" w:cstheme="minorHAnsi"/>
        </w:rPr>
      </w:pPr>
    </w:p>
    <w:p w14:paraId="1900A4B4"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9.1. If any clause contained in this Agreement is, for any reason, held to be invalid or unenforceable, in any respect, such unenforceability will not affect the validity of the remaining Agreement.</w:t>
      </w:r>
    </w:p>
    <w:p w14:paraId="48BB4FDA" w14:textId="77777777" w:rsidR="00312023" w:rsidRPr="00B74333" w:rsidRDefault="00312023" w:rsidP="00312023">
      <w:pPr>
        <w:suppressAutoHyphens/>
        <w:spacing w:after="0" w:line="260" w:lineRule="exact"/>
        <w:jc w:val="both"/>
        <w:rPr>
          <w:rFonts w:eastAsia="Times New Roman" w:cstheme="minorHAnsi"/>
        </w:rPr>
      </w:pPr>
    </w:p>
    <w:p w14:paraId="54F33C74"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9.2. Any modifications to this Agreement are only valid if in writing and duly signed by both Parties.</w:t>
      </w:r>
    </w:p>
    <w:p w14:paraId="12631B50" w14:textId="77777777" w:rsidR="00312023" w:rsidRPr="00B74333" w:rsidRDefault="00312023" w:rsidP="00312023">
      <w:pPr>
        <w:suppressAutoHyphens/>
        <w:spacing w:after="0" w:line="260" w:lineRule="exact"/>
        <w:jc w:val="both"/>
        <w:rPr>
          <w:rFonts w:eastAsia="Times New Roman" w:cstheme="minorHAnsi"/>
        </w:rPr>
      </w:pPr>
    </w:p>
    <w:p w14:paraId="7F1B987C"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9.3. Any notice or other communication to be given under or in connection with this Agreement shall be in the Greek or the English language in writing and executed by or on behalf of the Party giving it and marked for the attention of the other Party. A notice may be delivered personally, by registered mail or courier to the address provided hereof:</w:t>
      </w:r>
    </w:p>
    <w:p w14:paraId="60B5D7BD" w14:textId="77777777" w:rsidR="00312023" w:rsidRPr="00B74333" w:rsidRDefault="00312023" w:rsidP="00312023">
      <w:pPr>
        <w:suppressAutoHyphens/>
        <w:spacing w:after="0" w:line="260" w:lineRule="exact"/>
        <w:rPr>
          <w:rFonts w:eastAsia="Times New Roman" w:cstheme="minorHAnsi"/>
        </w:rPr>
      </w:pPr>
    </w:p>
    <w:p w14:paraId="3B224FE4"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Name:</w:t>
      </w:r>
      <w:r w:rsidRPr="00B74333">
        <w:rPr>
          <w:rFonts w:eastAsia="Times New Roman" w:cstheme="minorHAnsi"/>
        </w:rPr>
        <w:tab/>
      </w:r>
      <w:r w:rsidRPr="00B74333">
        <w:rPr>
          <w:rFonts w:eastAsia="Times New Roman" w:cstheme="minorHAnsi"/>
        </w:rPr>
        <w:tab/>
      </w:r>
      <w:r w:rsidRPr="00B74333">
        <w:rPr>
          <w:rFonts w:eastAsia="Times New Roman" w:cstheme="minorHAnsi"/>
        </w:rPr>
        <w:tab/>
        <w:t>Hellenic Gas Transmission System Operator S.A.</w:t>
      </w:r>
    </w:p>
    <w:p w14:paraId="2E5FBCB0"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Address:</w:t>
      </w:r>
      <w:r w:rsidRPr="00B74333">
        <w:rPr>
          <w:rFonts w:eastAsia="Times New Roman" w:cstheme="minorHAnsi"/>
        </w:rPr>
        <w:tab/>
      </w:r>
      <w:r w:rsidRPr="00B74333">
        <w:rPr>
          <w:rFonts w:eastAsia="Times New Roman" w:cstheme="minorHAnsi"/>
        </w:rPr>
        <w:tab/>
      </w:r>
      <w:proofErr w:type="spellStart"/>
      <w:r w:rsidRPr="00B74333">
        <w:rPr>
          <w:rFonts w:eastAsia="Times New Roman" w:cstheme="minorHAnsi"/>
        </w:rPr>
        <w:t>Messogion</w:t>
      </w:r>
      <w:proofErr w:type="spellEnd"/>
      <w:r w:rsidRPr="00B74333">
        <w:rPr>
          <w:rFonts w:eastAsia="Times New Roman" w:cstheme="minorHAnsi"/>
        </w:rPr>
        <w:t xml:space="preserve"> 357-359</w:t>
      </w:r>
    </w:p>
    <w:p w14:paraId="29D68421"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 xml:space="preserve">For the attention of: </w:t>
      </w:r>
      <w:r w:rsidRPr="00B74333">
        <w:rPr>
          <w:rFonts w:eastAsia="Times New Roman" w:cstheme="minorHAnsi"/>
        </w:rPr>
        <w:tab/>
        <w:t xml:space="preserve">Commercial Services Division </w:t>
      </w:r>
    </w:p>
    <w:p w14:paraId="2597B7D0"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ab/>
      </w:r>
    </w:p>
    <w:p w14:paraId="48736786" w14:textId="77777777" w:rsidR="00312023" w:rsidRPr="00B74333" w:rsidRDefault="00312023" w:rsidP="00312023">
      <w:pPr>
        <w:suppressAutoHyphens/>
        <w:spacing w:after="0" w:line="260" w:lineRule="exact"/>
        <w:rPr>
          <w:rFonts w:eastAsia="Times New Roman" w:cstheme="minorHAnsi"/>
        </w:rPr>
      </w:pPr>
    </w:p>
    <w:p w14:paraId="0E576C08"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Name:</w:t>
      </w:r>
      <w:r w:rsidRPr="00B74333">
        <w:rPr>
          <w:rFonts w:eastAsia="Times New Roman" w:cstheme="minorHAnsi"/>
        </w:rPr>
        <w:tab/>
      </w:r>
      <w:r w:rsidRPr="00B74333">
        <w:rPr>
          <w:rFonts w:eastAsia="Times New Roman" w:cstheme="minorHAnsi"/>
        </w:rPr>
        <w:tab/>
      </w:r>
      <w:r w:rsidRPr="00B74333">
        <w:rPr>
          <w:rFonts w:eastAsia="Times New Roman" w:cstheme="minorHAnsi"/>
        </w:rPr>
        <w:tab/>
      </w:r>
      <w:r w:rsidRPr="00B74333">
        <w:rPr>
          <w:rFonts w:eastAsia="Times New Roman" w:cstheme="minorHAnsi"/>
          <w:i/>
        </w:rPr>
        <w:t>[Participant]</w:t>
      </w:r>
    </w:p>
    <w:p w14:paraId="4AD8150B"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Address:</w:t>
      </w:r>
      <w:r w:rsidRPr="00B74333">
        <w:rPr>
          <w:rFonts w:eastAsia="Times New Roman" w:cstheme="minorHAnsi"/>
        </w:rPr>
        <w:tab/>
      </w:r>
      <w:r w:rsidRPr="00B74333">
        <w:rPr>
          <w:rFonts w:eastAsia="Times New Roman" w:cstheme="minorHAnsi"/>
        </w:rPr>
        <w:tab/>
      </w:r>
    </w:p>
    <w:p w14:paraId="5EAC324B"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 xml:space="preserve">For the attention of: </w:t>
      </w:r>
      <w:r w:rsidRPr="00B74333">
        <w:rPr>
          <w:rFonts w:eastAsia="Times New Roman" w:cstheme="minorHAnsi"/>
        </w:rPr>
        <w:tab/>
        <w:t xml:space="preserve"> </w:t>
      </w:r>
    </w:p>
    <w:p w14:paraId="0F124549"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 xml:space="preserve">with a copy to:        </w:t>
      </w:r>
      <w:r w:rsidRPr="00B74333">
        <w:rPr>
          <w:rFonts w:eastAsia="Times New Roman" w:cstheme="minorHAnsi"/>
        </w:rPr>
        <w:tab/>
      </w:r>
    </w:p>
    <w:p w14:paraId="4AF8B36C" w14:textId="77777777" w:rsidR="00312023" w:rsidRPr="00B74333" w:rsidRDefault="00312023" w:rsidP="00312023">
      <w:pPr>
        <w:suppressAutoHyphens/>
        <w:spacing w:after="0" w:line="260" w:lineRule="exact"/>
        <w:rPr>
          <w:rFonts w:eastAsia="Times New Roman" w:cstheme="minorHAnsi"/>
        </w:rPr>
      </w:pPr>
      <w:r w:rsidRPr="00B74333">
        <w:rPr>
          <w:rFonts w:eastAsia="Times New Roman" w:cstheme="minorHAnsi"/>
        </w:rPr>
        <w:tab/>
      </w:r>
    </w:p>
    <w:p w14:paraId="42080F06" w14:textId="77777777" w:rsidR="00312023" w:rsidRPr="00B74333" w:rsidRDefault="00312023" w:rsidP="00312023">
      <w:pPr>
        <w:suppressAutoHyphens/>
        <w:spacing w:after="0" w:line="260" w:lineRule="exact"/>
        <w:jc w:val="both"/>
        <w:rPr>
          <w:rFonts w:eastAsia="Times New Roman" w:cstheme="minorHAnsi"/>
        </w:rPr>
      </w:pPr>
      <w:r w:rsidRPr="00B74333">
        <w:rPr>
          <w:rFonts w:eastAsia="Times New Roman" w:cstheme="minorHAnsi"/>
        </w:rPr>
        <w:t xml:space="preserve">9.4. This Agreement has been entered into in 2 (two) counterparts each an original and of equal value upon the date stated at the beginning of this Agreement. </w:t>
      </w:r>
    </w:p>
    <w:p w14:paraId="4A353C62" w14:textId="77777777" w:rsidR="00312023" w:rsidRPr="00B74333" w:rsidRDefault="00312023" w:rsidP="00312023">
      <w:pPr>
        <w:suppressAutoHyphens/>
        <w:spacing w:after="0" w:line="260" w:lineRule="exact"/>
        <w:rPr>
          <w:rFonts w:eastAsia="Times New Roman" w:cstheme="minorHAnsi"/>
        </w:rPr>
      </w:pPr>
    </w:p>
    <w:p w14:paraId="775A6852" w14:textId="77777777" w:rsidR="00312023" w:rsidRPr="00B74333" w:rsidRDefault="00312023" w:rsidP="00312023">
      <w:pPr>
        <w:tabs>
          <w:tab w:val="left" w:pos="2520"/>
        </w:tabs>
        <w:suppressAutoHyphens/>
        <w:spacing w:after="0" w:line="260" w:lineRule="exact"/>
        <w:rPr>
          <w:rFonts w:eastAsia="Times New Roman" w:cstheme="minorHAnsi"/>
        </w:rPr>
      </w:pPr>
    </w:p>
    <w:p w14:paraId="62610121" w14:textId="77777777" w:rsidR="00312023" w:rsidRPr="00B74333" w:rsidRDefault="00312023" w:rsidP="00312023">
      <w:pPr>
        <w:tabs>
          <w:tab w:val="left" w:pos="2520"/>
        </w:tabs>
        <w:suppressAutoHyphens/>
        <w:spacing w:after="0" w:line="260" w:lineRule="exact"/>
        <w:rPr>
          <w:rFonts w:eastAsia="Times New Roman" w:cstheme="minorHAnsi"/>
        </w:rPr>
      </w:pPr>
      <w:r w:rsidRPr="00B74333">
        <w:rPr>
          <w:rFonts w:eastAsia="Times New Roman" w:cstheme="minorHAnsi"/>
        </w:rPr>
        <w:t>Signed for and on behalf of</w:t>
      </w:r>
    </w:p>
    <w:p w14:paraId="3E754C32" w14:textId="77777777" w:rsidR="00312023" w:rsidRPr="00B74333" w:rsidRDefault="00312023" w:rsidP="00312023">
      <w:pPr>
        <w:tabs>
          <w:tab w:val="left" w:pos="2520"/>
        </w:tabs>
        <w:suppressAutoHyphens/>
        <w:spacing w:after="0" w:line="260" w:lineRule="exact"/>
        <w:ind w:left="1170" w:hanging="1170"/>
        <w:rPr>
          <w:rFonts w:eastAsia="Times New Roman" w:cstheme="minorHAnsi"/>
          <w:b/>
        </w:rPr>
      </w:pPr>
    </w:p>
    <w:p w14:paraId="34F8E1A6" w14:textId="77777777" w:rsidR="00312023" w:rsidRPr="00B74333" w:rsidRDefault="00312023" w:rsidP="00312023">
      <w:pPr>
        <w:tabs>
          <w:tab w:val="left" w:pos="2520"/>
        </w:tabs>
        <w:suppressAutoHyphens/>
        <w:spacing w:after="0" w:line="260" w:lineRule="exact"/>
        <w:ind w:left="1170" w:hanging="1170"/>
        <w:rPr>
          <w:rFonts w:eastAsia="Times New Roman" w:cstheme="minorHAnsi"/>
          <w:b/>
        </w:rPr>
      </w:pPr>
      <w:r w:rsidRPr="00B74333">
        <w:rPr>
          <w:rFonts w:eastAsia="Times New Roman" w:cstheme="minorHAnsi"/>
          <w:b/>
        </w:rPr>
        <w:t xml:space="preserve">For the Hellenic Gas Transmission System </w:t>
      </w:r>
      <w:r w:rsidRPr="00B74333">
        <w:rPr>
          <w:rFonts w:eastAsia="Times New Roman" w:cstheme="minorHAnsi"/>
          <w:b/>
        </w:rPr>
        <w:tab/>
        <w:t>For the […] (Company)</w:t>
      </w:r>
    </w:p>
    <w:p w14:paraId="4AF55BB8" w14:textId="70D63A21" w:rsidR="00312023" w:rsidRPr="00B74333" w:rsidRDefault="00312023" w:rsidP="00312023">
      <w:pPr>
        <w:tabs>
          <w:tab w:val="left" w:pos="2520"/>
        </w:tabs>
        <w:suppressAutoHyphens/>
        <w:spacing w:after="0" w:line="260" w:lineRule="exact"/>
        <w:ind w:left="1170" w:hanging="1170"/>
        <w:rPr>
          <w:rFonts w:eastAsia="Times New Roman" w:cstheme="minorHAnsi"/>
          <w:b/>
        </w:rPr>
      </w:pPr>
      <w:r w:rsidRPr="00B74333">
        <w:rPr>
          <w:rFonts w:eastAsia="Times New Roman" w:cstheme="minorHAnsi"/>
          <w:b/>
        </w:rPr>
        <w:t>Operator (DESFA):</w:t>
      </w:r>
    </w:p>
    <w:p w14:paraId="41CC8772" w14:textId="77777777" w:rsidR="00312023" w:rsidRPr="00B74333" w:rsidRDefault="00312023" w:rsidP="00312023">
      <w:pPr>
        <w:tabs>
          <w:tab w:val="left" w:pos="2520"/>
        </w:tabs>
        <w:suppressAutoHyphens/>
        <w:spacing w:after="0" w:line="260" w:lineRule="exact"/>
        <w:ind w:left="1170" w:hanging="1170"/>
        <w:rPr>
          <w:rFonts w:eastAsia="Times New Roman" w:cstheme="minorHAnsi"/>
        </w:rPr>
      </w:pPr>
    </w:p>
    <w:p w14:paraId="5E7505F1" w14:textId="77777777" w:rsidR="00312023" w:rsidRPr="00B74333" w:rsidRDefault="00312023" w:rsidP="00312023">
      <w:pPr>
        <w:tabs>
          <w:tab w:val="left" w:pos="2520"/>
        </w:tabs>
        <w:suppressAutoHyphens/>
        <w:spacing w:after="0" w:line="260" w:lineRule="exact"/>
        <w:ind w:left="1170" w:hanging="1170"/>
        <w:rPr>
          <w:rFonts w:eastAsia="Times New Roman" w:cstheme="minorHAnsi"/>
        </w:rPr>
      </w:pPr>
    </w:p>
    <w:p w14:paraId="4A71CD1C" w14:textId="77777777" w:rsidR="00312023" w:rsidRPr="00B74333" w:rsidRDefault="00312023" w:rsidP="00312023">
      <w:pPr>
        <w:tabs>
          <w:tab w:val="left" w:pos="2520"/>
        </w:tabs>
        <w:suppressAutoHyphens/>
        <w:spacing w:after="0" w:line="360" w:lineRule="auto"/>
        <w:ind w:left="1170" w:hanging="1170"/>
        <w:rPr>
          <w:rFonts w:eastAsia="Times New Roman" w:cstheme="minorHAnsi"/>
        </w:rPr>
      </w:pPr>
      <w:r w:rsidRPr="00B74333">
        <w:rPr>
          <w:rFonts w:eastAsia="Times New Roman" w:cstheme="minorHAnsi"/>
        </w:rPr>
        <w:t>Signature ..............................................</w:t>
      </w:r>
      <w:r w:rsidRPr="00B74333">
        <w:rPr>
          <w:rFonts w:eastAsia="Times New Roman" w:cstheme="minorHAnsi"/>
        </w:rPr>
        <w:tab/>
      </w:r>
      <w:r w:rsidRPr="00B74333">
        <w:rPr>
          <w:rFonts w:eastAsia="Times New Roman" w:cstheme="minorHAnsi"/>
        </w:rPr>
        <w:tab/>
        <w:t>Signature .............................................</w:t>
      </w:r>
    </w:p>
    <w:p w14:paraId="0AD68DDB" w14:textId="77777777" w:rsidR="00312023" w:rsidRPr="00B74333" w:rsidRDefault="00312023" w:rsidP="00312023">
      <w:pPr>
        <w:tabs>
          <w:tab w:val="left" w:pos="2520"/>
        </w:tabs>
        <w:suppressAutoHyphens/>
        <w:spacing w:after="0" w:line="360" w:lineRule="auto"/>
        <w:ind w:left="1170" w:hanging="1170"/>
        <w:rPr>
          <w:rFonts w:eastAsia="Times New Roman" w:cstheme="minorHAnsi"/>
        </w:rPr>
      </w:pPr>
    </w:p>
    <w:p w14:paraId="640CC680" w14:textId="77777777" w:rsidR="00312023" w:rsidRPr="00B74333" w:rsidRDefault="00312023" w:rsidP="00312023">
      <w:pPr>
        <w:tabs>
          <w:tab w:val="left" w:pos="2520"/>
        </w:tabs>
        <w:suppressAutoHyphens/>
        <w:spacing w:after="0" w:line="360" w:lineRule="auto"/>
        <w:ind w:left="1170" w:hanging="1170"/>
        <w:rPr>
          <w:rFonts w:eastAsia="Times New Roman" w:cstheme="minorHAnsi"/>
        </w:rPr>
      </w:pPr>
      <w:r w:rsidRPr="00B74333">
        <w:rPr>
          <w:rFonts w:eastAsia="Times New Roman" w:cstheme="minorHAnsi"/>
        </w:rPr>
        <w:t>Name....................................................</w:t>
      </w:r>
      <w:r w:rsidRPr="00B74333">
        <w:rPr>
          <w:rFonts w:eastAsia="Times New Roman" w:cstheme="minorHAnsi"/>
        </w:rPr>
        <w:tab/>
      </w:r>
      <w:r w:rsidRPr="00B74333">
        <w:rPr>
          <w:rFonts w:eastAsia="Times New Roman" w:cstheme="minorHAnsi"/>
        </w:rPr>
        <w:tab/>
        <w:t>Name....................................................</w:t>
      </w:r>
    </w:p>
    <w:p w14:paraId="59280254" w14:textId="77777777" w:rsidR="00312023" w:rsidRPr="00B74333" w:rsidRDefault="00312023" w:rsidP="00312023">
      <w:pPr>
        <w:suppressAutoHyphens/>
        <w:spacing w:after="0" w:line="360" w:lineRule="auto"/>
        <w:rPr>
          <w:rFonts w:eastAsia="Times New Roman" w:cstheme="minorHAnsi"/>
        </w:rPr>
      </w:pPr>
    </w:p>
    <w:p w14:paraId="6EEE2495" w14:textId="77777777" w:rsidR="00312023" w:rsidRPr="00B74333" w:rsidRDefault="00312023" w:rsidP="00312023">
      <w:pPr>
        <w:suppressAutoHyphens/>
        <w:spacing w:after="0" w:line="360" w:lineRule="auto"/>
        <w:rPr>
          <w:rFonts w:eastAsia="Times New Roman" w:cstheme="minorHAnsi"/>
        </w:rPr>
      </w:pPr>
      <w:r w:rsidRPr="00B74333">
        <w:rPr>
          <w:rFonts w:eastAsia="Times New Roman" w:cstheme="minorHAnsi"/>
        </w:rPr>
        <w:t>Title ......................................................</w:t>
      </w:r>
      <w:r w:rsidRPr="00B74333">
        <w:rPr>
          <w:rFonts w:eastAsia="Times New Roman" w:cstheme="minorHAnsi"/>
        </w:rPr>
        <w:tab/>
      </w:r>
      <w:r w:rsidRPr="00B74333">
        <w:rPr>
          <w:rFonts w:eastAsia="Times New Roman" w:cstheme="minorHAnsi"/>
        </w:rPr>
        <w:tab/>
        <w:t>Title ......................................................</w:t>
      </w:r>
    </w:p>
    <w:p w14:paraId="40FE60B0" w14:textId="77777777" w:rsidR="00312023" w:rsidRPr="00B74333" w:rsidRDefault="00312023" w:rsidP="00312023">
      <w:pPr>
        <w:rPr>
          <w:rFonts w:eastAsia="Times New Roman" w:cstheme="minorHAnsi"/>
        </w:rPr>
      </w:pPr>
    </w:p>
    <w:p w14:paraId="66E48C8A" w14:textId="77777777" w:rsidR="00F02D76" w:rsidRPr="00B74333" w:rsidRDefault="00F02D76" w:rsidP="00BC0CA0">
      <w:pPr>
        <w:rPr>
          <w:rFonts w:cstheme="minorHAnsi"/>
          <w:sz w:val="20"/>
          <w:szCs w:val="20"/>
        </w:rPr>
      </w:pPr>
    </w:p>
    <w:p w14:paraId="51FEF229" w14:textId="710F30AF" w:rsidR="00D849C6" w:rsidRPr="00B74333" w:rsidRDefault="00D849C6" w:rsidP="00D849C6">
      <w:pPr>
        <w:pStyle w:val="Heading3"/>
        <w:pBdr>
          <w:bottom w:val="single" w:sz="4" w:space="1" w:color="auto"/>
        </w:pBdr>
        <w:rPr>
          <w:sz w:val="36"/>
          <w:szCs w:val="36"/>
        </w:rPr>
      </w:pPr>
      <w:bookmarkStart w:id="73" w:name="_Toc165465569"/>
      <w:r w:rsidRPr="00B74333">
        <w:rPr>
          <w:sz w:val="36"/>
          <w:szCs w:val="36"/>
        </w:rPr>
        <w:lastRenderedPageBreak/>
        <w:t xml:space="preserve">Annex </w:t>
      </w:r>
      <w:r w:rsidR="001C4570" w:rsidRPr="00B74333">
        <w:rPr>
          <w:sz w:val="36"/>
          <w:szCs w:val="36"/>
        </w:rPr>
        <w:t xml:space="preserve">IV </w:t>
      </w:r>
      <w:r w:rsidRPr="00B74333">
        <w:rPr>
          <w:sz w:val="36"/>
          <w:szCs w:val="36"/>
        </w:rPr>
        <w:t>- Binding Bid Form</w:t>
      </w:r>
      <w:bookmarkEnd w:id="71"/>
      <w:bookmarkEnd w:id="73"/>
    </w:p>
    <w:p w14:paraId="3C9CEC55" w14:textId="77777777" w:rsidR="00D849C6" w:rsidRPr="00B74333" w:rsidRDefault="00D849C6" w:rsidP="00D849C6">
      <w:pPr>
        <w:pStyle w:val="BodyText3"/>
        <w:spacing w:line="276" w:lineRule="auto"/>
        <w:rPr>
          <w:rFonts w:asciiTheme="minorHAnsi" w:hAnsiTheme="minorHAnsi" w:cstheme="minorHAnsi"/>
          <w:b w:val="0"/>
          <w:sz w:val="20"/>
          <w:szCs w:val="20"/>
          <w:lang w:val="en-US"/>
        </w:rPr>
      </w:pPr>
    </w:p>
    <w:p w14:paraId="6B233FC2" w14:textId="77777777" w:rsidR="00D849C6" w:rsidRPr="00B74333" w:rsidRDefault="00D849C6" w:rsidP="00D849C6">
      <w:pPr>
        <w:pStyle w:val="BodyText3"/>
        <w:spacing w:line="276" w:lineRule="auto"/>
        <w:rPr>
          <w:rFonts w:asciiTheme="minorHAnsi" w:hAnsiTheme="minorHAnsi" w:cstheme="minorHAnsi"/>
          <w:b w:val="0"/>
          <w:sz w:val="22"/>
          <w:szCs w:val="22"/>
          <w:lang w:val="en-US"/>
        </w:rPr>
      </w:pPr>
      <w:r w:rsidRPr="00B74333">
        <w:rPr>
          <w:rFonts w:asciiTheme="minorHAnsi" w:hAnsiTheme="minorHAnsi" w:cstheme="minorHAnsi"/>
          <w:sz w:val="22"/>
          <w:szCs w:val="22"/>
          <w:lang w:val="en-US"/>
        </w:rPr>
        <w:t>To</w:t>
      </w:r>
    </w:p>
    <w:p w14:paraId="4251EF3C" w14:textId="77777777" w:rsidR="006C56AD" w:rsidRPr="00B74333" w:rsidRDefault="006C56AD" w:rsidP="006C56AD">
      <w:pPr>
        <w:pStyle w:val="Default"/>
        <w:rPr>
          <w:rFonts w:asciiTheme="minorHAnsi" w:hAnsiTheme="minorHAnsi" w:cstheme="minorHAnsi"/>
          <w:b/>
          <w:sz w:val="22"/>
          <w:szCs w:val="22"/>
        </w:rPr>
      </w:pPr>
      <w:r w:rsidRPr="00B74333">
        <w:rPr>
          <w:rFonts w:asciiTheme="minorHAnsi" w:hAnsiTheme="minorHAnsi" w:cstheme="minorHAnsi"/>
          <w:b/>
          <w:sz w:val="22"/>
          <w:szCs w:val="22"/>
        </w:rPr>
        <w:t>DESFA</w:t>
      </w:r>
    </w:p>
    <w:p w14:paraId="5C53B114" w14:textId="77777777" w:rsidR="006C56AD" w:rsidRPr="00B74333" w:rsidRDefault="006C56AD" w:rsidP="006C56AD">
      <w:pPr>
        <w:pStyle w:val="Default"/>
        <w:rPr>
          <w:rFonts w:asciiTheme="minorHAnsi" w:hAnsiTheme="minorHAnsi" w:cstheme="minorHAnsi"/>
          <w:b/>
          <w:sz w:val="22"/>
          <w:szCs w:val="22"/>
        </w:rPr>
      </w:pPr>
      <w:r w:rsidRPr="00B74333">
        <w:rPr>
          <w:rFonts w:asciiTheme="minorHAnsi" w:hAnsiTheme="minorHAnsi" w:cstheme="minorHAnsi"/>
          <w:b/>
          <w:sz w:val="22"/>
          <w:szCs w:val="22"/>
        </w:rPr>
        <w:t>Commercial Services Division</w:t>
      </w:r>
    </w:p>
    <w:p w14:paraId="11BD35C5" w14:textId="4E2FAF01" w:rsidR="006C56AD" w:rsidRPr="00B74333" w:rsidRDefault="00000000" w:rsidP="006C56AD">
      <w:pPr>
        <w:pStyle w:val="Default"/>
        <w:rPr>
          <w:rFonts w:asciiTheme="minorHAnsi" w:hAnsiTheme="minorHAnsi" w:cstheme="minorHAnsi"/>
          <w:sz w:val="22"/>
          <w:szCs w:val="22"/>
        </w:rPr>
      </w:pPr>
      <w:hyperlink r:id="rId18" w:history="1">
        <w:r w:rsidR="006C56AD" w:rsidRPr="00B74333">
          <w:rPr>
            <w:rStyle w:val="Hyperlink"/>
            <w:rFonts w:asciiTheme="minorHAnsi" w:hAnsiTheme="minorHAnsi" w:cstheme="minorHAnsi"/>
            <w:sz w:val="22"/>
            <w:szCs w:val="22"/>
          </w:rPr>
          <w:t>market-test@DESFA.GR</w:t>
        </w:r>
      </w:hyperlink>
      <w:r w:rsidR="006C56AD" w:rsidRPr="00B74333">
        <w:rPr>
          <w:rFonts w:asciiTheme="minorHAnsi" w:hAnsiTheme="minorHAnsi" w:cstheme="minorHAnsi"/>
          <w:sz w:val="22"/>
          <w:szCs w:val="22"/>
        </w:rPr>
        <w:t xml:space="preserve">  </w:t>
      </w:r>
    </w:p>
    <w:p w14:paraId="22C47074" w14:textId="77777777" w:rsidR="006C56AD" w:rsidRPr="00B74333" w:rsidRDefault="006C56AD" w:rsidP="006C56AD">
      <w:pPr>
        <w:pStyle w:val="Default"/>
        <w:rPr>
          <w:rFonts w:asciiTheme="minorHAnsi" w:hAnsiTheme="minorHAnsi" w:cstheme="minorHAnsi"/>
          <w:sz w:val="22"/>
          <w:szCs w:val="22"/>
        </w:rPr>
      </w:pPr>
      <w:r w:rsidRPr="00B74333">
        <w:rPr>
          <w:rFonts w:asciiTheme="minorHAnsi" w:hAnsiTheme="minorHAnsi" w:cstheme="minorHAnsi"/>
          <w:sz w:val="22"/>
          <w:szCs w:val="22"/>
        </w:rPr>
        <w:t xml:space="preserve">357-359 </w:t>
      </w:r>
      <w:proofErr w:type="spellStart"/>
      <w:r w:rsidRPr="00B74333">
        <w:rPr>
          <w:rFonts w:asciiTheme="minorHAnsi" w:hAnsiTheme="minorHAnsi" w:cstheme="minorHAnsi"/>
          <w:sz w:val="22"/>
          <w:szCs w:val="22"/>
        </w:rPr>
        <w:t>Messogion</w:t>
      </w:r>
      <w:proofErr w:type="spellEnd"/>
      <w:r w:rsidRPr="00B74333">
        <w:rPr>
          <w:rFonts w:asciiTheme="minorHAnsi" w:hAnsiTheme="minorHAnsi" w:cstheme="minorHAnsi"/>
          <w:sz w:val="22"/>
          <w:szCs w:val="22"/>
        </w:rPr>
        <w:t xml:space="preserve"> Ave.,</w:t>
      </w:r>
    </w:p>
    <w:p w14:paraId="651ADA38" w14:textId="77777777" w:rsidR="006C56AD" w:rsidRPr="00B74333" w:rsidRDefault="006C56AD" w:rsidP="006C56AD">
      <w:pPr>
        <w:pStyle w:val="Default"/>
        <w:rPr>
          <w:rFonts w:asciiTheme="minorHAnsi" w:hAnsiTheme="minorHAnsi" w:cstheme="minorHAnsi"/>
          <w:sz w:val="22"/>
          <w:szCs w:val="22"/>
        </w:rPr>
      </w:pPr>
      <w:r w:rsidRPr="00B74333">
        <w:rPr>
          <w:rFonts w:asciiTheme="minorHAnsi" w:hAnsiTheme="minorHAnsi" w:cstheme="minorHAnsi"/>
          <w:sz w:val="22"/>
          <w:szCs w:val="22"/>
        </w:rPr>
        <w:t>Athens, 15231, Greece</w:t>
      </w:r>
    </w:p>
    <w:p w14:paraId="52328C81" w14:textId="070EF0F1" w:rsidR="006C56AD" w:rsidRPr="00B74333" w:rsidRDefault="00000000" w:rsidP="006C56AD">
      <w:pPr>
        <w:pStyle w:val="Default"/>
        <w:rPr>
          <w:rFonts w:asciiTheme="minorHAnsi" w:hAnsiTheme="minorHAnsi" w:cstheme="minorHAnsi"/>
          <w:sz w:val="22"/>
          <w:szCs w:val="22"/>
        </w:rPr>
      </w:pPr>
      <w:hyperlink r:id="rId19" w:history="1">
        <w:r w:rsidR="006C56AD" w:rsidRPr="00B74333">
          <w:rPr>
            <w:rStyle w:val="Hyperlink"/>
            <w:rFonts w:asciiTheme="minorHAnsi" w:hAnsiTheme="minorHAnsi" w:cstheme="minorHAnsi"/>
            <w:sz w:val="22"/>
            <w:szCs w:val="22"/>
          </w:rPr>
          <w:t>www.desfa.gr</w:t>
        </w:r>
      </w:hyperlink>
      <w:r w:rsidR="006C56AD" w:rsidRPr="00B74333">
        <w:rPr>
          <w:rFonts w:asciiTheme="minorHAnsi" w:hAnsiTheme="minorHAnsi" w:cstheme="minorHAnsi"/>
          <w:sz w:val="22"/>
          <w:szCs w:val="22"/>
        </w:rPr>
        <w:t xml:space="preserve"> </w:t>
      </w:r>
    </w:p>
    <w:p w14:paraId="78451BDC" w14:textId="77777777" w:rsidR="00D849C6" w:rsidRPr="00B74333" w:rsidRDefault="00D849C6" w:rsidP="00D849C6">
      <w:pPr>
        <w:pStyle w:val="BodyText3"/>
        <w:tabs>
          <w:tab w:val="left" w:pos="5685"/>
        </w:tabs>
        <w:spacing w:line="276" w:lineRule="auto"/>
        <w:rPr>
          <w:rFonts w:asciiTheme="minorHAnsi" w:hAnsiTheme="minorHAnsi" w:cstheme="minorHAnsi"/>
          <w:b w:val="0"/>
          <w:sz w:val="22"/>
          <w:szCs w:val="22"/>
          <w:lang w:val="en-US"/>
        </w:rPr>
      </w:pPr>
    </w:p>
    <w:p w14:paraId="0E4AAF73" w14:textId="77777777" w:rsidR="00D849C6" w:rsidRPr="00B74333" w:rsidRDefault="00D849C6" w:rsidP="00D849C6">
      <w:pPr>
        <w:pStyle w:val="BodyText3"/>
        <w:tabs>
          <w:tab w:val="left" w:pos="5685"/>
        </w:tabs>
        <w:spacing w:line="276" w:lineRule="auto"/>
        <w:rPr>
          <w:rFonts w:asciiTheme="minorHAnsi" w:hAnsiTheme="minorHAnsi" w:cstheme="minorHAnsi"/>
          <w:b w:val="0"/>
          <w:sz w:val="22"/>
          <w:szCs w:val="22"/>
          <w:lang w:val="en-US"/>
        </w:rPr>
      </w:pPr>
    </w:p>
    <w:p w14:paraId="6239913D" w14:textId="66185848" w:rsidR="00D849C6" w:rsidRPr="00B74333" w:rsidRDefault="00D849C6" w:rsidP="00D849C6">
      <w:pPr>
        <w:pStyle w:val="BodyText3"/>
        <w:spacing w:line="240" w:lineRule="auto"/>
        <w:jc w:val="center"/>
        <w:rPr>
          <w:rFonts w:asciiTheme="minorHAnsi" w:hAnsiTheme="minorHAnsi" w:cstheme="minorHAnsi"/>
          <w:b w:val="0"/>
          <w:sz w:val="22"/>
          <w:szCs w:val="22"/>
          <w:lang w:val="en-US"/>
        </w:rPr>
      </w:pPr>
      <w:bookmarkStart w:id="74" w:name="_Hlk146877035"/>
      <w:r w:rsidRPr="00B74333">
        <w:rPr>
          <w:rFonts w:asciiTheme="minorHAnsi" w:hAnsiTheme="minorHAnsi" w:cstheme="minorHAnsi"/>
          <w:sz w:val="22"/>
          <w:szCs w:val="22"/>
          <w:lang w:val="en-US"/>
        </w:rPr>
        <w:t>Binding Bid Form for the participation to the</w:t>
      </w:r>
      <w:r w:rsidR="00E23A7F" w:rsidRPr="00B74333">
        <w:rPr>
          <w:rFonts w:asciiTheme="minorHAnsi" w:hAnsiTheme="minorHAnsi" w:cstheme="minorHAnsi"/>
          <w:sz w:val="22"/>
          <w:szCs w:val="22"/>
          <w:lang w:val="en-US"/>
        </w:rPr>
        <w:t xml:space="preserve"> </w:t>
      </w:r>
      <w:r w:rsidRPr="00B74333">
        <w:rPr>
          <w:rFonts w:asciiTheme="minorHAnsi" w:hAnsiTheme="minorHAnsi" w:cstheme="minorHAnsi"/>
          <w:sz w:val="22"/>
          <w:szCs w:val="22"/>
          <w:lang w:val="en-US"/>
        </w:rPr>
        <w:t>Binding Bid</w:t>
      </w:r>
      <w:r w:rsidR="00F528AD" w:rsidRPr="00B74333">
        <w:rPr>
          <w:rFonts w:asciiTheme="minorHAnsi" w:hAnsiTheme="minorHAnsi" w:cstheme="minorHAnsi"/>
          <w:sz w:val="22"/>
          <w:szCs w:val="22"/>
          <w:lang w:val="en-US"/>
        </w:rPr>
        <w:t>d</w:t>
      </w:r>
      <w:r w:rsidRPr="00B74333">
        <w:rPr>
          <w:rFonts w:asciiTheme="minorHAnsi" w:hAnsiTheme="minorHAnsi" w:cstheme="minorHAnsi"/>
          <w:sz w:val="22"/>
          <w:szCs w:val="22"/>
          <w:lang w:val="en-US"/>
        </w:rPr>
        <w:t>ing Phase of the</w:t>
      </w:r>
      <w:r w:rsidR="00204729" w:rsidRPr="00B74333">
        <w:rPr>
          <w:rFonts w:asciiTheme="minorHAnsi" w:hAnsiTheme="minorHAnsi" w:cstheme="minorHAnsi"/>
          <w:sz w:val="22"/>
          <w:szCs w:val="22"/>
          <w:lang w:val="en-US"/>
        </w:rPr>
        <w:t xml:space="preserve"> </w:t>
      </w:r>
      <w:r w:rsidR="00C42DE6" w:rsidRPr="00B74333">
        <w:rPr>
          <w:rFonts w:asciiTheme="minorHAnsi" w:hAnsiTheme="minorHAnsi" w:cstheme="minorHAnsi"/>
          <w:sz w:val="22"/>
          <w:szCs w:val="22"/>
          <w:lang w:val="en-US"/>
        </w:rPr>
        <w:t>Market Test</w:t>
      </w:r>
      <w:r w:rsidRPr="00B74333">
        <w:rPr>
          <w:rFonts w:asciiTheme="minorHAnsi" w:hAnsiTheme="minorHAnsi" w:cstheme="minorHAnsi"/>
          <w:sz w:val="22"/>
          <w:szCs w:val="22"/>
          <w:lang w:val="en-US"/>
        </w:rPr>
        <w:t xml:space="preserve"> Process carried out by the Operator of the National Natural Gas Transmission system of Greece (DESFA)</w:t>
      </w:r>
      <w:bookmarkEnd w:id="74"/>
    </w:p>
    <w:p w14:paraId="422A567F" w14:textId="79DF7B6F" w:rsidR="00D857C8" w:rsidRPr="00B74333" w:rsidRDefault="00D849C6" w:rsidP="00D849C6">
      <w:pPr>
        <w:pStyle w:val="alignjustify"/>
        <w:spacing w:before="480"/>
        <w:jc w:val="both"/>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The undersigned </w:t>
      </w:r>
      <w:r w:rsidR="003945A2" w:rsidRPr="00B74333">
        <w:rPr>
          <w:rFonts w:asciiTheme="minorHAnsi" w:hAnsiTheme="minorHAnsi" w:cstheme="minorHAnsi"/>
          <w:sz w:val="22"/>
          <w:szCs w:val="22"/>
          <w:lang w:val="en-US"/>
        </w:rPr>
        <w:t xml:space="preserve">[•] </w:t>
      </w:r>
      <w:r w:rsidRPr="00B74333">
        <w:rPr>
          <w:rFonts w:asciiTheme="minorHAnsi" w:hAnsiTheme="minorHAnsi" w:cstheme="minorHAnsi"/>
          <w:sz w:val="22"/>
          <w:szCs w:val="22"/>
          <w:lang w:val="en-US"/>
        </w:rPr>
        <w:t xml:space="preserve">in his/her capacity as </w:t>
      </w:r>
      <w:r w:rsidR="003945A2" w:rsidRPr="00B74333">
        <w:rPr>
          <w:rFonts w:asciiTheme="minorHAnsi" w:hAnsiTheme="minorHAnsi" w:cstheme="minorHAnsi"/>
          <w:sz w:val="22"/>
          <w:szCs w:val="22"/>
          <w:lang w:val="en-US"/>
        </w:rPr>
        <w:t xml:space="preserve">[•] </w:t>
      </w:r>
      <w:r w:rsidRPr="00B74333">
        <w:rPr>
          <w:rFonts w:asciiTheme="minorHAnsi" w:hAnsiTheme="minorHAnsi" w:cstheme="minorHAnsi"/>
          <w:sz w:val="22"/>
          <w:szCs w:val="22"/>
          <w:lang w:val="en-US"/>
        </w:rPr>
        <w:t xml:space="preserve">acting in the name and on behalf of </w:t>
      </w:r>
      <w:r w:rsidR="00147A28" w:rsidRPr="00B74333">
        <w:rPr>
          <w:rFonts w:asciiTheme="minorHAnsi" w:hAnsiTheme="minorHAnsi" w:cstheme="minorHAnsi"/>
          <w:sz w:val="22"/>
          <w:szCs w:val="22"/>
          <w:lang w:val="en-US"/>
        </w:rPr>
        <w:t xml:space="preserve">[•], a company incorporated and existing under the laws of [•], having its headquarters and registered office at [•], registered under the Business Registry number [•] </w:t>
      </w:r>
      <w:r w:rsidRPr="00B74333">
        <w:rPr>
          <w:rFonts w:asciiTheme="minorHAnsi" w:hAnsiTheme="minorHAnsi" w:cstheme="minorHAnsi"/>
          <w:sz w:val="22"/>
          <w:szCs w:val="22"/>
          <w:lang w:val="en-US"/>
        </w:rPr>
        <w:t xml:space="preserve">(hereinafter the </w:t>
      </w:r>
      <w:r w:rsidR="00147A28" w:rsidRPr="00B74333">
        <w:rPr>
          <w:rFonts w:asciiTheme="minorHAnsi" w:hAnsiTheme="minorHAnsi" w:cstheme="minorHAnsi"/>
          <w:sz w:val="22"/>
          <w:szCs w:val="22"/>
          <w:lang w:val="en-US"/>
        </w:rPr>
        <w:t>“</w:t>
      </w:r>
      <w:r w:rsidRPr="00B74333">
        <w:rPr>
          <w:rFonts w:asciiTheme="minorHAnsi" w:hAnsiTheme="minorHAnsi" w:cstheme="minorHAnsi"/>
          <w:sz w:val="22"/>
          <w:szCs w:val="22"/>
          <w:lang w:val="en-US"/>
        </w:rPr>
        <w:t>Company</w:t>
      </w:r>
      <w:r w:rsidR="00147A28" w:rsidRPr="00B74333">
        <w:rPr>
          <w:rFonts w:asciiTheme="minorHAnsi" w:hAnsiTheme="minorHAnsi" w:cstheme="minorHAnsi"/>
          <w:sz w:val="22"/>
          <w:szCs w:val="22"/>
          <w:lang w:val="en-US"/>
        </w:rPr>
        <w:t>”</w:t>
      </w:r>
      <w:proofErr w:type="gramStart"/>
      <w:r w:rsidRPr="00B74333">
        <w:rPr>
          <w:rFonts w:asciiTheme="minorHAnsi" w:hAnsiTheme="minorHAnsi" w:cstheme="minorHAnsi"/>
          <w:sz w:val="22"/>
          <w:szCs w:val="22"/>
          <w:lang w:val="en-US"/>
        </w:rPr>
        <w:t>);</w:t>
      </w:r>
      <w:proofErr w:type="gramEnd"/>
    </w:p>
    <w:p w14:paraId="04A7890C" w14:textId="77777777" w:rsidR="00D849C6" w:rsidRPr="00B74333" w:rsidRDefault="00D849C6" w:rsidP="001A64A1">
      <w:pPr>
        <w:pStyle w:val="ListParagraph"/>
        <w:numPr>
          <w:ilvl w:val="0"/>
          <w:numId w:val="76"/>
        </w:numPr>
        <w:autoSpaceDE w:val="0"/>
        <w:autoSpaceDN w:val="0"/>
        <w:adjustRightInd w:val="0"/>
        <w:spacing w:after="0" w:line="276" w:lineRule="auto"/>
        <w:jc w:val="both"/>
        <w:rPr>
          <w:rFonts w:cstheme="minorHAnsi"/>
          <w:color w:val="000000"/>
        </w:rPr>
      </w:pPr>
      <w:r w:rsidRPr="00B74333">
        <w:rPr>
          <w:rFonts w:cstheme="minorHAnsi"/>
          <w:color w:val="000000"/>
        </w:rPr>
        <w:t>Declares</w:t>
      </w:r>
    </w:p>
    <w:p w14:paraId="0D4DF800" w14:textId="510C934D" w:rsidR="008A7BBC" w:rsidRPr="00B74333" w:rsidRDefault="008A7BBC" w:rsidP="00D01A43">
      <w:pPr>
        <w:pStyle w:val="BodyText2"/>
        <w:tabs>
          <w:tab w:val="left" w:pos="0"/>
        </w:tabs>
        <w:spacing w:after="240"/>
        <w:rPr>
          <w:rFonts w:asciiTheme="minorHAnsi" w:hAnsiTheme="minorHAnsi" w:cstheme="minorHAnsi"/>
          <w:i/>
          <w:iCs/>
          <w:sz w:val="22"/>
          <w:szCs w:val="22"/>
          <w:lang w:val="en-US"/>
        </w:rPr>
      </w:pPr>
      <w:r w:rsidRPr="00B74333">
        <w:rPr>
          <w:rFonts w:asciiTheme="minorHAnsi" w:hAnsiTheme="minorHAnsi" w:cstheme="minorHAnsi"/>
          <w:i/>
          <w:iCs/>
          <w:sz w:val="22"/>
          <w:szCs w:val="22"/>
          <w:lang w:val="en-US"/>
        </w:rPr>
        <w:t>[choose between (i) and (ii) as appropriate and delete the remaining case:</w:t>
      </w:r>
    </w:p>
    <w:p w14:paraId="2A41376D" w14:textId="32139FF2" w:rsidR="00D849C6" w:rsidRPr="00B74333" w:rsidRDefault="00E375EF" w:rsidP="00D01A43">
      <w:pPr>
        <w:pStyle w:val="BodyText2"/>
        <w:tabs>
          <w:tab w:val="left" w:pos="0"/>
        </w:tabs>
        <w:spacing w:after="240"/>
        <w:rPr>
          <w:rFonts w:asciiTheme="minorHAnsi" w:hAnsiTheme="minorHAnsi" w:cstheme="minorHAnsi"/>
          <w:i/>
          <w:iCs/>
          <w:sz w:val="22"/>
          <w:szCs w:val="22"/>
          <w:lang w:val="en-US"/>
        </w:rPr>
      </w:pPr>
      <w:r w:rsidRPr="00B74333">
        <w:rPr>
          <w:rFonts w:asciiTheme="minorHAnsi" w:hAnsiTheme="minorHAnsi" w:cstheme="minorHAnsi"/>
          <w:i/>
          <w:iCs/>
          <w:sz w:val="22"/>
          <w:szCs w:val="22"/>
          <w:lang w:val="en-US"/>
        </w:rPr>
        <w:t xml:space="preserve">(i) </w:t>
      </w:r>
      <w:r w:rsidR="00D849C6" w:rsidRPr="00B74333">
        <w:rPr>
          <w:rFonts w:asciiTheme="minorHAnsi" w:hAnsiTheme="minorHAnsi" w:cstheme="minorHAnsi"/>
          <w:i/>
          <w:iCs/>
          <w:sz w:val="22"/>
          <w:szCs w:val="22"/>
          <w:lang w:val="en-US"/>
        </w:rPr>
        <w:t xml:space="preserve">To have submitted or will submit also to </w:t>
      </w:r>
      <w:r w:rsidR="00D857C8" w:rsidRPr="00B74333">
        <w:rPr>
          <w:rFonts w:asciiTheme="minorHAnsi" w:hAnsiTheme="minorHAnsi" w:cstheme="minorHAnsi"/>
          <w:i/>
          <w:iCs/>
          <w:sz w:val="22"/>
          <w:szCs w:val="22"/>
          <w:lang w:val="en-US"/>
        </w:rPr>
        <w:t>ICG</w:t>
      </w:r>
      <w:r w:rsidR="001C76F0" w:rsidRPr="00B74333">
        <w:rPr>
          <w:rFonts w:asciiTheme="minorHAnsi" w:hAnsiTheme="minorHAnsi" w:cstheme="minorHAnsi"/>
          <w:i/>
          <w:iCs/>
          <w:sz w:val="22"/>
          <w:szCs w:val="22"/>
          <w:lang w:val="en-US"/>
        </w:rPr>
        <w:t>B and/or to BULGRATRANSGAZ</w:t>
      </w:r>
      <w:r w:rsidR="00D849C6" w:rsidRPr="00B74333">
        <w:rPr>
          <w:rFonts w:asciiTheme="minorHAnsi" w:hAnsiTheme="minorHAnsi" w:cstheme="minorHAnsi"/>
          <w:i/>
          <w:iCs/>
          <w:sz w:val="22"/>
          <w:szCs w:val="22"/>
          <w:lang w:val="en-US"/>
        </w:rPr>
        <w:t xml:space="preserve">, </w:t>
      </w:r>
      <w:r w:rsidR="00371907" w:rsidRPr="00B74333">
        <w:rPr>
          <w:rFonts w:asciiTheme="minorHAnsi" w:hAnsiTheme="minorHAnsi" w:cstheme="minorHAnsi"/>
          <w:i/>
          <w:iCs/>
          <w:sz w:val="22"/>
          <w:szCs w:val="22"/>
          <w:lang w:val="en-US"/>
        </w:rPr>
        <w:t>matching b</w:t>
      </w:r>
      <w:r w:rsidR="00301B20" w:rsidRPr="00B74333">
        <w:rPr>
          <w:rFonts w:asciiTheme="minorHAnsi" w:hAnsiTheme="minorHAnsi" w:cstheme="minorHAnsi"/>
          <w:i/>
          <w:iCs/>
          <w:sz w:val="22"/>
          <w:szCs w:val="22"/>
          <w:lang w:val="en-US"/>
        </w:rPr>
        <w:t xml:space="preserve">inding </w:t>
      </w:r>
      <w:r w:rsidR="00371907" w:rsidRPr="00B74333">
        <w:rPr>
          <w:rFonts w:asciiTheme="minorHAnsi" w:hAnsiTheme="minorHAnsi" w:cstheme="minorHAnsi"/>
          <w:i/>
          <w:iCs/>
          <w:sz w:val="22"/>
          <w:szCs w:val="22"/>
          <w:lang w:val="en-US"/>
        </w:rPr>
        <w:t>b</w:t>
      </w:r>
      <w:r w:rsidR="00301B20" w:rsidRPr="00B74333">
        <w:rPr>
          <w:rFonts w:asciiTheme="minorHAnsi" w:hAnsiTheme="minorHAnsi" w:cstheme="minorHAnsi"/>
          <w:i/>
          <w:iCs/>
          <w:sz w:val="22"/>
          <w:szCs w:val="22"/>
          <w:lang w:val="en-US"/>
        </w:rPr>
        <w:t xml:space="preserve">ids </w:t>
      </w:r>
      <w:r w:rsidR="002678B3" w:rsidRPr="00B74333">
        <w:rPr>
          <w:rFonts w:asciiTheme="minorHAnsi" w:hAnsiTheme="minorHAnsi" w:cstheme="minorHAnsi"/>
          <w:i/>
          <w:iCs/>
          <w:sz w:val="22"/>
          <w:szCs w:val="22"/>
          <w:lang w:val="en-US"/>
        </w:rPr>
        <w:t xml:space="preserve">(i.e. </w:t>
      </w:r>
      <w:r w:rsidR="00301B20" w:rsidRPr="00B74333">
        <w:rPr>
          <w:rFonts w:asciiTheme="minorHAnsi" w:hAnsiTheme="minorHAnsi" w:cstheme="minorHAnsi"/>
          <w:i/>
          <w:iCs/>
          <w:sz w:val="22"/>
          <w:szCs w:val="22"/>
          <w:lang w:val="en-US"/>
        </w:rPr>
        <w:t>having identical start and end dates, and identical capacity requested per gas year</w:t>
      </w:r>
      <w:r w:rsidR="002678B3" w:rsidRPr="00B74333">
        <w:rPr>
          <w:rFonts w:asciiTheme="minorHAnsi" w:hAnsiTheme="minorHAnsi" w:cstheme="minorHAnsi"/>
          <w:i/>
          <w:iCs/>
          <w:sz w:val="22"/>
          <w:szCs w:val="22"/>
          <w:lang w:val="en-US"/>
        </w:rPr>
        <w:t>)</w:t>
      </w:r>
      <w:r w:rsidR="00301B20" w:rsidRPr="00B74333">
        <w:rPr>
          <w:rFonts w:asciiTheme="minorHAnsi" w:hAnsiTheme="minorHAnsi" w:cstheme="minorHAnsi"/>
          <w:i/>
          <w:iCs/>
          <w:sz w:val="22"/>
          <w:szCs w:val="22"/>
          <w:lang w:val="en-US"/>
        </w:rPr>
        <w:t xml:space="preserve"> </w:t>
      </w:r>
      <w:r w:rsidR="00D849C6" w:rsidRPr="00B74333">
        <w:rPr>
          <w:rFonts w:asciiTheme="minorHAnsi" w:hAnsiTheme="minorHAnsi" w:cstheme="minorHAnsi"/>
          <w:i/>
          <w:iCs/>
          <w:sz w:val="22"/>
          <w:szCs w:val="22"/>
          <w:lang w:val="en-US"/>
        </w:rPr>
        <w:t>for the incremental capacity requested at the Interconnection Point</w:t>
      </w:r>
      <w:r w:rsidR="00C8039C" w:rsidRPr="00B74333">
        <w:rPr>
          <w:rFonts w:asciiTheme="minorHAnsi" w:hAnsiTheme="minorHAnsi" w:cstheme="minorHAnsi"/>
          <w:i/>
          <w:iCs/>
          <w:sz w:val="22"/>
          <w:szCs w:val="22"/>
          <w:lang w:val="en-US"/>
        </w:rPr>
        <w:t>s</w:t>
      </w:r>
      <w:r w:rsidR="000E2AEA" w:rsidRPr="00B74333">
        <w:rPr>
          <w:rFonts w:asciiTheme="minorHAnsi" w:hAnsiTheme="minorHAnsi" w:cstheme="minorHAnsi"/>
          <w:i/>
          <w:iCs/>
          <w:sz w:val="22"/>
          <w:szCs w:val="22"/>
          <w:lang w:val="en-US"/>
        </w:rPr>
        <w:t xml:space="preserve"> of Komotini and</w:t>
      </w:r>
      <w:r w:rsidR="004C7970" w:rsidRPr="00B74333">
        <w:rPr>
          <w:rFonts w:asciiTheme="minorHAnsi" w:hAnsiTheme="minorHAnsi" w:cstheme="minorHAnsi"/>
          <w:i/>
          <w:iCs/>
          <w:sz w:val="22"/>
          <w:szCs w:val="22"/>
          <w:lang w:val="en-US"/>
        </w:rPr>
        <w:t>/or</w:t>
      </w:r>
      <w:r w:rsidR="000E2AEA" w:rsidRPr="00B74333">
        <w:rPr>
          <w:rFonts w:asciiTheme="minorHAnsi" w:hAnsiTheme="minorHAnsi" w:cstheme="minorHAnsi"/>
          <w:i/>
          <w:iCs/>
          <w:sz w:val="22"/>
          <w:szCs w:val="22"/>
          <w:lang w:val="en-US"/>
        </w:rPr>
        <w:t xml:space="preserve"> Sidirokastro respectively</w:t>
      </w:r>
      <w:r w:rsidR="00D01A43" w:rsidRPr="00B74333">
        <w:rPr>
          <w:rFonts w:asciiTheme="minorHAnsi" w:hAnsiTheme="minorHAnsi" w:cstheme="minorHAnsi"/>
          <w:i/>
          <w:iCs/>
          <w:sz w:val="22"/>
          <w:szCs w:val="22"/>
          <w:lang w:val="en-US"/>
        </w:rPr>
        <w:t>.</w:t>
      </w:r>
    </w:p>
    <w:p w14:paraId="575DDF5E" w14:textId="119D5B2F" w:rsidR="00E375EF" w:rsidRPr="00B74333" w:rsidRDefault="00E375EF" w:rsidP="00D01A43">
      <w:pPr>
        <w:pStyle w:val="BodyText2"/>
        <w:tabs>
          <w:tab w:val="left" w:pos="0"/>
        </w:tabs>
        <w:spacing w:after="240"/>
        <w:rPr>
          <w:rFonts w:asciiTheme="minorHAnsi" w:hAnsiTheme="minorHAnsi" w:cstheme="minorHAnsi"/>
          <w:i/>
          <w:iCs/>
          <w:sz w:val="22"/>
          <w:szCs w:val="22"/>
          <w:lang w:val="en-US"/>
        </w:rPr>
      </w:pPr>
      <w:r w:rsidRPr="00B74333">
        <w:rPr>
          <w:rFonts w:asciiTheme="minorHAnsi" w:hAnsiTheme="minorHAnsi" w:cstheme="minorHAnsi"/>
          <w:i/>
          <w:iCs/>
          <w:sz w:val="22"/>
          <w:szCs w:val="22"/>
          <w:lang w:val="en-US"/>
        </w:rPr>
        <w:t>or</w:t>
      </w:r>
    </w:p>
    <w:p w14:paraId="1301025A" w14:textId="040F89FE" w:rsidR="00E375EF" w:rsidRPr="00B74333" w:rsidRDefault="008D673E" w:rsidP="00D01A43">
      <w:pPr>
        <w:pStyle w:val="BodyText2"/>
        <w:tabs>
          <w:tab w:val="left" w:pos="0"/>
        </w:tabs>
        <w:spacing w:after="240"/>
        <w:rPr>
          <w:rFonts w:asciiTheme="minorHAnsi" w:hAnsiTheme="minorHAnsi" w:cstheme="minorHAnsi"/>
          <w:i/>
          <w:iCs/>
          <w:sz w:val="22"/>
          <w:szCs w:val="22"/>
          <w:lang w:val="en-US"/>
        </w:rPr>
      </w:pPr>
      <w:r w:rsidRPr="00B74333">
        <w:rPr>
          <w:rFonts w:asciiTheme="minorHAnsi" w:hAnsiTheme="minorHAnsi" w:cstheme="minorHAnsi"/>
          <w:i/>
          <w:iCs/>
          <w:sz w:val="22"/>
          <w:szCs w:val="22"/>
          <w:lang w:val="en-US"/>
        </w:rPr>
        <w:t xml:space="preserve">(ii) </w:t>
      </w:r>
      <w:r w:rsidR="00B0104C" w:rsidRPr="00B74333">
        <w:rPr>
          <w:rFonts w:asciiTheme="minorHAnsi" w:hAnsiTheme="minorHAnsi" w:cstheme="minorHAnsi"/>
          <w:i/>
          <w:iCs/>
          <w:sz w:val="22"/>
          <w:szCs w:val="22"/>
          <w:lang w:val="en-US"/>
        </w:rPr>
        <w:t xml:space="preserve">To have </w:t>
      </w:r>
      <w:r w:rsidR="006F6ED2" w:rsidRPr="00B74333">
        <w:rPr>
          <w:rFonts w:asciiTheme="minorHAnsi" w:hAnsiTheme="minorHAnsi" w:cstheme="minorHAnsi"/>
          <w:i/>
          <w:iCs/>
          <w:sz w:val="22"/>
          <w:szCs w:val="22"/>
          <w:lang w:val="en-US"/>
        </w:rPr>
        <w:t xml:space="preserve">not </w:t>
      </w:r>
      <w:r w:rsidR="00B0104C" w:rsidRPr="00B74333">
        <w:rPr>
          <w:rFonts w:asciiTheme="minorHAnsi" w:hAnsiTheme="minorHAnsi" w:cstheme="minorHAnsi"/>
          <w:i/>
          <w:iCs/>
          <w:sz w:val="22"/>
          <w:szCs w:val="22"/>
          <w:lang w:val="en-US"/>
        </w:rPr>
        <w:t xml:space="preserve">submitted </w:t>
      </w:r>
      <w:r w:rsidR="0033439B" w:rsidRPr="00B74333">
        <w:rPr>
          <w:rFonts w:asciiTheme="minorHAnsi" w:hAnsiTheme="minorHAnsi" w:cstheme="minorHAnsi"/>
          <w:i/>
          <w:iCs/>
          <w:sz w:val="22"/>
          <w:szCs w:val="22"/>
          <w:lang w:val="en-US"/>
        </w:rPr>
        <w:t xml:space="preserve">and </w:t>
      </w:r>
      <w:r w:rsidR="00B0104C" w:rsidRPr="00B74333">
        <w:rPr>
          <w:rFonts w:asciiTheme="minorHAnsi" w:hAnsiTheme="minorHAnsi" w:cstheme="minorHAnsi"/>
          <w:i/>
          <w:iCs/>
          <w:sz w:val="22"/>
          <w:szCs w:val="22"/>
          <w:lang w:val="en-US"/>
        </w:rPr>
        <w:t xml:space="preserve">will </w:t>
      </w:r>
      <w:r w:rsidR="0033439B" w:rsidRPr="00B74333">
        <w:rPr>
          <w:rFonts w:asciiTheme="minorHAnsi" w:hAnsiTheme="minorHAnsi" w:cstheme="minorHAnsi"/>
          <w:i/>
          <w:iCs/>
          <w:sz w:val="22"/>
          <w:szCs w:val="22"/>
          <w:lang w:val="en-US"/>
        </w:rPr>
        <w:t xml:space="preserve">not </w:t>
      </w:r>
      <w:r w:rsidR="00B0104C" w:rsidRPr="00B74333">
        <w:rPr>
          <w:rFonts w:asciiTheme="minorHAnsi" w:hAnsiTheme="minorHAnsi" w:cstheme="minorHAnsi"/>
          <w:i/>
          <w:iCs/>
          <w:sz w:val="22"/>
          <w:szCs w:val="22"/>
          <w:lang w:val="en-US"/>
        </w:rPr>
        <w:t>submit to ICGB and to BULGRATRANSGAZ binding bids for incremental capacity at the Interconnection Points of Komotini and Sidirokastro respectively.]</w:t>
      </w:r>
    </w:p>
    <w:p w14:paraId="22F80E91" w14:textId="77777777" w:rsidR="00D849C6" w:rsidRPr="00B74333" w:rsidRDefault="00D849C6" w:rsidP="001A64A1">
      <w:pPr>
        <w:pStyle w:val="ListParagraph"/>
        <w:numPr>
          <w:ilvl w:val="0"/>
          <w:numId w:val="76"/>
        </w:numPr>
        <w:autoSpaceDE w:val="0"/>
        <w:autoSpaceDN w:val="0"/>
        <w:adjustRightInd w:val="0"/>
        <w:spacing w:after="0" w:line="276" w:lineRule="auto"/>
        <w:jc w:val="both"/>
        <w:rPr>
          <w:rFonts w:cstheme="minorHAnsi"/>
          <w:color w:val="000000"/>
        </w:rPr>
      </w:pPr>
      <w:r w:rsidRPr="00B74333">
        <w:rPr>
          <w:rFonts w:cstheme="minorHAnsi"/>
          <w:color w:val="000000"/>
        </w:rPr>
        <w:t xml:space="preserve">Accepts and recognizes </w:t>
      </w:r>
      <w:proofErr w:type="gramStart"/>
      <w:r w:rsidRPr="00B74333">
        <w:rPr>
          <w:rFonts w:cstheme="minorHAnsi"/>
          <w:color w:val="000000"/>
        </w:rPr>
        <w:t>that</w:t>
      </w:r>
      <w:proofErr w:type="gramEnd"/>
      <w:r w:rsidRPr="00B74333">
        <w:rPr>
          <w:rFonts w:cstheme="minorHAnsi"/>
          <w:color w:val="000000"/>
        </w:rPr>
        <w:t xml:space="preserve"> </w:t>
      </w:r>
    </w:p>
    <w:p w14:paraId="21538C79" w14:textId="0EF31BBA"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The Capacity Allocation referred to in the </w:t>
      </w:r>
      <w:r w:rsidR="00C553EC" w:rsidRPr="00B74333">
        <w:rPr>
          <w:rFonts w:asciiTheme="minorHAnsi" w:hAnsiTheme="minorHAnsi" w:cstheme="minorHAnsi"/>
          <w:sz w:val="22"/>
          <w:szCs w:val="22"/>
          <w:lang w:val="en-US"/>
        </w:rPr>
        <w:t>Market Test</w:t>
      </w:r>
      <w:r w:rsidRPr="00B74333">
        <w:rPr>
          <w:rFonts w:asciiTheme="minorHAnsi" w:hAnsiTheme="minorHAnsi" w:cstheme="minorHAnsi"/>
          <w:sz w:val="22"/>
          <w:szCs w:val="22"/>
          <w:lang w:val="en-US"/>
        </w:rPr>
        <w:t xml:space="preserve"> Process</w:t>
      </w:r>
      <w:r w:rsidR="00C553EC" w:rsidRPr="00B74333">
        <w:rPr>
          <w:rFonts w:asciiTheme="minorHAnsi" w:hAnsiTheme="minorHAnsi" w:cstheme="minorHAnsi"/>
          <w:sz w:val="22"/>
          <w:szCs w:val="22"/>
          <w:lang w:val="en-US"/>
        </w:rPr>
        <w:t>,</w:t>
      </w:r>
      <w:r w:rsidRPr="00B74333">
        <w:rPr>
          <w:rFonts w:asciiTheme="minorHAnsi" w:hAnsiTheme="minorHAnsi" w:cstheme="minorHAnsi"/>
          <w:sz w:val="22"/>
          <w:szCs w:val="22"/>
          <w:lang w:val="en-US"/>
        </w:rPr>
        <w:t xml:space="preserve"> is subject to the positive outcome of the </w:t>
      </w:r>
      <w:r w:rsidR="009147EC" w:rsidRPr="00B74333">
        <w:rPr>
          <w:rFonts w:asciiTheme="minorHAnsi" w:hAnsiTheme="minorHAnsi" w:cstheme="minorHAnsi"/>
          <w:sz w:val="22"/>
          <w:szCs w:val="22"/>
          <w:lang w:val="en-US"/>
        </w:rPr>
        <w:t>Economic Viability Test (</w:t>
      </w:r>
      <w:r w:rsidRPr="00B74333">
        <w:rPr>
          <w:rFonts w:asciiTheme="minorHAnsi" w:hAnsiTheme="minorHAnsi" w:cstheme="minorHAnsi"/>
          <w:sz w:val="22"/>
          <w:szCs w:val="22"/>
          <w:lang w:val="en-US"/>
        </w:rPr>
        <w:t>EVT</w:t>
      </w:r>
      <w:r w:rsidR="009147EC" w:rsidRPr="00B74333">
        <w:rPr>
          <w:rFonts w:asciiTheme="minorHAnsi" w:hAnsiTheme="minorHAnsi" w:cstheme="minorHAnsi"/>
          <w:sz w:val="22"/>
          <w:szCs w:val="22"/>
          <w:lang w:val="en-US"/>
        </w:rPr>
        <w:t>)</w:t>
      </w:r>
      <w:r w:rsidRPr="00B74333">
        <w:rPr>
          <w:rFonts w:asciiTheme="minorHAnsi" w:hAnsiTheme="minorHAnsi" w:cstheme="minorHAnsi"/>
          <w:sz w:val="22"/>
          <w:szCs w:val="22"/>
          <w:lang w:val="en-US"/>
        </w:rPr>
        <w:t xml:space="preserve"> of the TSOs </w:t>
      </w:r>
      <w:proofErr w:type="gramStart"/>
      <w:r w:rsidR="00ED275D" w:rsidRPr="00B74333">
        <w:rPr>
          <w:rFonts w:asciiTheme="minorHAnsi" w:hAnsiTheme="minorHAnsi" w:cstheme="minorHAnsi"/>
          <w:sz w:val="22"/>
          <w:szCs w:val="22"/>
          <w:lang w:val="en-US"/>
        </w:rPr>
        <w:t>C</w:t>
      </w:r>
      <w:r w:rsidRPr="00B74333">
        <w:rPr>
          <w:rFonts w:asciiTheme="minorHAnsi" w:hAnsiTheme="minorHAnsi" w:cstheme="minorHAnsi"/>
          <w:sz w:val="22"/>
          <w:szCs w:val="22"/>
          <w:lang w:val="en-US"/>
        </w:rPr>
        <w:t>oncerned;</w:t>
      </w:r>
      <w:proofErr w:type="gramEnd"/>
    </w:p>
    <w:p w14:paraId="1D40AF7D" w14:textId="5CEB86D4"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In case of a negative outcome of an EVT, </w:t>
      </w:r>
      <w:r w:rsidR="00376C7A" w:rsidRPr="00B74333">
        <w:rPr>
          <w:rFonts w:asciiTheme="minorHAnsi" w:hAnsiTheme="minorHAnsi" w:cstheme="minorHAnsi"/>
          <w:sz w:val="22"/>
          <w:szCs w:val="22"/>
          <w:lang w:val="en-US"/>
        </w:rPr>
        <w:t>DESFA</w:t>
      </w:r>
      <w:r w:rsidRPr="00B74333">
        <w:rPr>
          <w:rFonts w:asciiTheme="minorHAnsi" w:hAnsiTheme="minorHAnsi" w:cstheme="minorHAnsi"/>
          <w:sz w:val="22"/>
          <w:szCs w:val="22"/>
          <w:lang w:val="en-US"/>
        </w:rPr>
        <w:t xml:space="preserve"> shall return any </w:t>
      </w:r>
      <w:r w:rsidR="001C118E" w:rsidRPr="00B74333">
        <w:rPr>
          <w:rFonts w:asciiTheme="minorHAnsi" w:hAnsiTheme="minorHAnsi" w:cstheme="minorHAnsi"/>
          <w:sz w:val="22"/>
          <w:szCs w:val="22"/>
          <w:lang w:val="en-US"/>
        </w:rPr>
        <w:t>Binding Bid G</w:t>
      </w:r>
      <w:r w:rsidRPr="00B74333">
        <w:rPr>
          <w:rFonts w:asciiTheme="minorHAnsi" w:hAnsiTheme="minorHAnsi" w:cstheme="minorHAnsi"/>
          <w:sz w:val="22"/>
          <w:szCs w:val="22"/>
          <w:lang w:val="en-US"/>
        </w:rPr>
        <w:t xml:space="preserve">uarantees submitted and no transmission capacity will be contractually </w:t>
      </w:r>
      <w:proofErr w:type="gramStart"/>
      <w:r w:rsidRPr="00B74333">
        <w:rPr>
          <w:rFonts w:asciiTheme="minorHAnsi" w:hAnsiTheme="minorHAnsi" w:cstheme="minorHAnsi"/>
          <w:sz w:val="22"/>
          <w:szCs w:val="22"/>
          <w:lang w:val="en-US"/>
        </w:rPr>
        <w:t>allocated;</w:t>
      </w:r>
      <w:proofErr w:type="gramEnd"/>
    </w:p>
    <w:p w14:paraId="091F0D3B" w14:textId="6EB930CD" w:rsidR="00945DA7" w:rsidRPr="00B74333" w:rsidRDefault="00D849C6" w:rsidP="001D6BF6">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In case of a positive outcome of the </w:t>
      </w:r>
      <w:r w:rsidR="00DF45A8" w:rsidRPr="00B74333">
        <w:rPr>
          <w:rFonts w:asciiTheme="minorHAnsi" w:hAnsiTheme="minorHAnsi" w:cstheme="minorHAnsi"/>
          <w:sz w:val="22"/>
          <w:szCs w:val="22"/>
          <w:lang w:val="en-US"/>
        </w:rPr>
        <w:t xml:space="preserve">EVT </w:t>
      </w:r>
      <w:r w:rsidRPr="00B74333">
        <w:rPr>
          <w:rFonts w:asciiTheme="minorHAnsi" w:hAnsiTheme="minorHAnsi" w:cstheme="minorHAnsi"/>
          <w:sz w:val="22"/>
          <w:szCs w:val="22"/>
          <w:lang w:val="en-US"/>
        </w:rPr>
        <w:t xml:space="preserve">the </w:t>
      </w:r>
      <w:r w:rsidR="00AF0ED0" w:rsidRPr="00B74333">
        <w:rPr>
          <w:rFonts w:asciiTheme="minorHAnsi" w:hAnsiTheme="minorHAnsi" w:cstheme="minorHAnsi"/>
          <w:sz w:val="22"/>
          <w:szCs w:val="22"/>
          <w:lang w:val="en-US"/>
        </w:rPr>
        <w:t xml:space="preserve">Company </w:t>
      </w:r>
      <w:r w:rsidRPr="00B74333">
        <w:rPr>
          <w:rFonts w:asciiTheme="minorHAnsi" w:hAnsiTheme="minorHAnsi" w:cstheme="minorHAnsi"/>
          <w:sz w:val="22"/>
          <w:szCs w:val="22"/>
          <w:lang w:val="en-US"/>
        </w:rPr>
        <w:t xml:space="preserve">shall </w:t>
      </w:r>
      <w:r w:rsidR="00AA5767" w:rsidRPr="00B74333">
        <w:rPr>
          <w:rFonts w:asciiTheme="minorHAnsi" w:hAnsiTheme="minorHAnsi" w:cstheme="minorHAnsi"/>
          <w:sz w:val="22"/>
          <w:szCs w:val="22"/>
          <w:lang w:val="en-US"/>
        </w:rPr>
        <w:t>present</w:t>
      </w:r>
      <w:r w:rsidRPr="00B74333">
        <w:rPr>
          <w:rFonts w:asciiTheme="minorHAnsi" w:hAnsiTheme="minorHAnsi" w:cstheme="minorHAnsi"/>
          <w:sz w:val="22"/>
          <w:szCs w:val="22"/>
          <w:lang w:val="en-US"/>
        </w:rPr>
        <w:t xml:space="preserve"> to the TSOs concerned the respective bank guarantees and enter into a GTA and as described in Section </w:t>
      </w:r>
      <w:r w:rsidR="00D52AFB" w:rsidRPr="00B74333">
        <w:rPr>
          <w:rFonts w:asciiTheme="minorHAnsi" w:hAnsiTheme="minorHAnsi" w:cstheme="minorHAnsi"/>
          <w:sz w:val="22"/>
          <w:szCs w:val="22"/>
          <w:lang w:val="en-US"/>
        </w:rPr>
        <w:t>5</w:t>
      </w:r>
      <w:r w:rsidRPr="00B74333">
        <w:rPr>
          <w:rFonts w:asciiTheme="minorHAnsi" w:hAnsiTheme="minorHAnsi" w:cstheme="minorHAnsi"/>
          <w:sz w:val="22"/>
          <w:szCs w:val="22"/>
          <w:lang w:val="en-US"/>
        </w:rPr>
        <w:t>.7 of the</w:t>
      </w:r>
      <w:r w:rsidR="00D52AFB" w:rsidRPr="00B74333">
        <w:rPr>
          <w:rFonts w:asciiTheme="minorHAnsi" w:hAnsiTheme="minorHAnsi" w:cstheme="minorHAnsi"/>
          <w:sz w:val="22"/>
          <w:szCs w:val="22"/>
          <w:lang w:val="en-US"/>
        </w:rPr>
        <w:t xml:space="preserve"> Guidelines and the</w:t>
      </w:r>
      <w:r w:rsidRPr="00B74333">
        <w:rPr>
          <w:rFonts w:asciiTheme="minorHAnsi" w:hAnsiTheme="minorHAnsi" w:cstheme="minorHAnsi"/>
          <w:sz w:val="22"/>
          <w:szCs w:val="22"/>
          <w:lang w:val="en-US"/>
        </w:rPr>
        <w:t xml:space="preserve"> Project Proposal</w:t>
      </w:r>
      <w:r w:rsidR="00D52AFB"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and the terms of the Joint Notice</w:t>
      </w:r>
      <w:r w:rsidR="00D52AFB"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w:t>
      </w:r>
      <w:r w:rsidR="001D6BF6" w:rsidRPr="00B74333">
        <w:rPr>
          <w:rFonts w:asciiTheme="minorHAnsi" w:hAnsiTheme="minorHAnsi" w:cstheme="minorHAnsi"/>
          <w:sz w:val="22"/>
          <w:szCs w:val="22"/>
          <w:lang w:val="en-US"/>
        </w:rPr>
        <w:t xml:space="preserve"> </w:t>
      </w:r>
      <w:r w:rsidR="00945DA7" w:rsidRPr="00B74333">
        <w:rPr>
          <w:rFonts w:asciiTheme="minorHAnsi" w:hAnsiTheme="minorHAnsi" w:cstheme="minorHAnsi"/>
          <w:sz w:val="22"/>
          <w:szCs w:val="22"/>
          <w:lang w:val="en-US"/>
        </w:rPr>
        <w:t>I</w:t>
      </w:r>
      <w:r w:rsidR="001D6BF6" w:rsidRPr="00B74333">
        <w:rPr>
          <w:rFonts w:asciiTheme="minorHAnsi" w:hAnsiTheme="minorHAnsi" w:cstheme="minorHAnsi"/>
          <w:sz w:val="22"/>
          <w:szCs w:val="22"/>
          <w:lang w:val="en-US"/>
        </w:rPr>
        <w:t xml:space="preserve">f the Company </w:t>
      </w:r>
      <w:r w:rsidR="00945DA7" w:rsidRPr="00B74333">
        <w:rPr>
          <w:rFonts w:asciiTheme="minorHAnsi" w:hAnsiTheme="minorHAnsi" w:cstheme="minorHAnsi"/>
          <w:sz w:val="22"/>
          <w:szCs w:val="22"/>
          <w:lang w:val="en-US"/>
        </w:rPr>
        <w:t xml:space="preserve"> does not </w:t>
      </w:r>
      <w:r w:rsidR="00B831DF" w:rsidRPr="00B74333">
        <w:rPr>
          <w:rFonts w:asciiTheme="minorHAnsi" w:hAnsiTheme="minorHAnsi" w:cstheme="minorHAnsi"/>
          <w:sz w:val="22"/>
          <w:szCs w:val="22"/>
          <w:lang w:val="en-US"/>
        </w:rPr>
        <w:t xml:space="preserve">present to DESFA </w:t>
      </w:r>
      <w:r w:rsidR="00945DA7" w:rsidRPr="00B74333">
        <w:rPr>
          <w:rFonts w:asciiTheme="minorHAnsi" w:hAnsiTheme="minorHAnsi" w:cstheme="minorHAnsi"/>
          <w:sz w:val="22"/>
          <w:szCs w:val="22"/>
          <w:lang w:val="en-US"/>
        </w:rPr>
        <w:t>the GTA Guarantee or does not execute the GTA</w:t>
      </w:r>
      <w:r w:rsidR="00B831DF" w:rsidRPr="00B74333">
        <w:rPr>
          <w:rFonts w:asciiTheme="minorHAnsi" w:hAnsiTheme="minorHAnsi" w:cstheme="minorHAnsi"/>
          <w:sz w:val="22"/>
          <w:szCs w:val="22"/>
          <w:lang w:val="en-US"/>
        </w:rPr>
        <w:t>,</w:t>
      </w:r>
      <w:r w:rsidR="00945DA7" w:rsidRPr="00B74333">
        <w:rPr>
          <w:rFonts w:asciiTheme="minorHAnsi" w:hAnsiTheme="minorHAnsi" w:cstheme="minorHAnsi"/>
          <w:sz w:val="22"/>
          <w:szCs w:val="22"/>
          <w:lang w:val="en-US"/>
        </w:rPr>
        <w:t xml:space="preserve"> it shall pay a penalty to DESFA equal to the value of the Binding Bid Guarantee described in Section </w:t>
      </w:r>
      <w:r w:rsidR="00B915B5" w:rsidRPr="00B74333">
        <w:rPr>
          <w:rFonts w:asciiTheme="minorHAnsi" w:hAnsiTheme="minorHAnsi" w:cstheme="minorHAnsi"/>
          <w:sz w:val="22"/>
          <w:szCs w:val="22"/>
          <w:lang w:val="en-US"/>
        </w:rPr>
        <w:t>5.1</w:t>
      </w:r>
      <w:r w:rsidR="00945DA7" w:rsidRPr="00B74333">
        <w:rPr>
          <w:rFonts w:asciiTheme="minorHAnsi" w:hAnsiTheme="minorHAnsi" w:cstheme="minorHAnsi"/>
          <w:sz w:val="22"/>
          <w:szCs w:val="22"/>
          <w:lang w:val="en-US"/>
        </w:rPr>
        <w:t xml:space="preserve"> of the Guidelines and the Project Proposals. </w:t>
      </w:r>
    </w:p>
    <w:p w14:paraId="6A490EDE" w14:textId="77777777"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lastRenderedPageBreak/>
        <w:t xml:space="preserve">In case the Company is not allocated incremental capacity after a positive EVT, the </w:t>
      </w:r>
      <w:r w:rsidR="00481702" w:rsidRPr="00B74333">
        <w:rPr>
          <w:rFonts w:asciiTheme="minorHAnsi" w:hAnsiTheme="minorHAnsi" w:cstheme="minorHAnsi"/>
          <w:sz w:val="22"/>
          <w:szCs w:val="22"/>
          <w:lang w:val="en-US"/>
        </w:rPr>
        <w:t xml:space="preserve">Binding Bid </w:t>
      </w:r>
      <w:r w:rsidRPr="00B74333">
        <w:rPr>
          <w:rFonts w:asciiTheme="minorHAnsi" w:hAnsiTheme="minorHAnsi" w:cstheme="minorHAnsi"/>
          <w:sz w:val="22"/>
          <w:szCs w:val="22"/>
          <w:lang w:val="en-US"/>
        </w:rPr>
        <w:t xml:space="preserve">Guarantee shall be </w:t>
      </w:r>
      <w:proofErr w:type="gramStart"/>
      <w:r w:rsidRPr="00B74333">
        <w:rPr>
          <w:rFonts w:asciiTheme="minorHAnsi" w:hAnsiTheme="minorHAnsi" w:cstheme="minorHAnsi"/>
          <w:sz w:val="22"/>
          <w:szCs w:val="22"/>
          <w:lang w:val="en-US"/>
        </w:rPr>
        <w:t>returned;</w:t>
      </w:r>
      <w:proofErr w:type="gramEnd"/>
    </w:p>
    <w:p w14:paraId="0FCC4580" w14:textId="03B9FA7E"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In case </w:t>
      </w:r>
      <w:r w:rsidR="00513731" w:rsidRPr="00B74333">
        <w:rPr>
          <w:rFonts w:asciiTheme="minorHAnsi" w:hAnsiTheme="minorHAnsi" w:cstheme="minorHAnsi"/>
          <w:sz w:val="22"/>
          <w:szCs w:val="22"/>
          <w:lang w:val="en-US"/>
        </w:rPr>
        <w:t>the Company</w:t>
      </w:r>
      <w:r w:rsidRPr="00B74333">
        <w:rPr>
          <w:rFonts w:asciiTheme="minorHAnsi" w:hAnsiTheme="minorHAnsi" w:cstheme="minorHAnsi"/>
          <w:sz w:val="22"/>
          <w:szCs w:val="22"/>
          <w:lang w:val="en-US"/>
        </w:rPr>
        <w:t xml:space="preserve"> is allocated capacity but the GTA between DESFA and the </w:t>
      </w:r>
      <w:r w:rsidR="00513731" w:rsidRPr="00B74333">
        <w:rPr>
          <w:rFonts w:asciiTheme="minorHAnsi" w:hAnsiTheme="minorHAnsi" w:cstheme="minorHAnsi"/>
          <w:sz w:val="22"/>
          <w:szCs w:val="22"/>
          <w:lang w:val="en-US"/>
        </w:rPr>
        <w:t>Company</w:t>
      </w:r>
      <w:r w:rsidRPr="00B74333">
        <w:rPr>
          <w:rFonts w:asciiTheme="minorHAnsi" w:hAnsiTheme="minorHAnsi" w:cstheme="minorHAnsi"/>
          <w:sz w:val="22"/>
          <w:szCs w:val="22"/>
          <w:lang w:val="en-US"/>
        </w:rPr>
        <w:t xml:space="preserve"> does not</w:t>
      </w:r>
      <w:r w:rsidR="00022C19" w:rsidRPr="00B74333">
        <w:rPr>
          <w:rFonts w:asciiTheme="minorHAnsi" w:hAnsiTheme="minorHAnsi" w:cstheme="minorHAnsi"/>
          <w:lang w:val="en-US"/>
        </w:rPr>
        <w:t xml:space="preserve"> </w:t>
      </w:r>
      <w:r w:rsidR="00022C19" w:rsidRPr="00B74333">
        <w:rPr>
          <w:rFonts w:asciiTheme="minorHAnsi" w:hAnsiTheme="minorHAnsi" w:cstheme="minorHAnsi"/>
          <w:sz w:val="22"/>
          <w:szCs w:val="22"/>
          <w:lang w:val="en-US"/>
        </w:rPr>
        <w:t>become fully effective</w:t>
      </w:r>
      <w:r w:rsidR="00AF6642" w:rsidRPr="00B74333">
        <w:rPr>
          <w:rFonts w:asciiTheme="minorHAnsi" w:hAnsiTheme="minorHAnsi" w:cstheme="minorHAnsi"/>
          <w:sz w:val="22"/>
          <w:szCs w:val="22"/>
          <w:lang w:val="en-US"/>
        </w:rPr>
        <w:t>,</w:t>
      </w:r>
      <w:r w:rsidR="00CF0C61" w:rsidRPr="00B74333">
        <w:rPr>
          <w:rFonts w:asciiTheme="minorHAnsi" w:hAnsiTheme="minorHAnsi" w:cstheme="minorHAnsi"/>
          <w:lang w:val="en-US"/>
        </w:rPr>
        <w:t xml:space="preserve"> </w:t>
      </w:r>
      <w:r w:rsidR="00CF0C61" w:rsidRPr="00B74333">
        <w:rPr>
          <w:rFonts w:asciiTheme="minorHAnsi" w:hAnsiTheme="minorHAnsi" w:cstheme="minorHAnsi"/>
          <w:sz w:val="22"/>
          <w:szCs w:val="22"/>
          <w:lang w:val="en-US"/>
        </w:rPr>
        <w:t>or if one or more Participants withdraw from the GTA by exercising the step-out option by the Step-out Deadline</w:t>
      </w:r>
      <w:r w:rsidR="000F4D49" w:rsidRPr="00B74333">
        <w:rPr>
          <w:rFonts w:asciiTheme="minorHAnsi" w:hAnsiTheme="minorHAnsi" w:cstheme="minorHAnsi"/>
          <w:sz w:val="22"/>
          <w:szCs w:val="22"/>
          <w:lang w:val="en-US"/>
        </w:rPr>
        <w:t>,</w:t>
      </w:r>
      <w:r w:rsidR="00CF0C61" w:rsidRPr="00B74333">
        <w:rPr>
          <w:rFonts w:asciiTheme="minorHAnsi" w:hAnsiTheme="minorHAnsi" w:cstheme="minorHAnsi"/>
          <w:sz w:val="22"/>
          <w:szCs w:val="22"/>
          <w:lang w:val="en-US"/>
        </w:rPr>
        <w:t xml:space="preserve"> and as a result DESFA cannot continue the Incremental Capacity Project</w:t>
      </w:r>
      <w:r w:rsidRPr="00B74333">
        <w:rPr>
          <w:rFonts w:asciiTheme="minorHAnsi" w:hAnsiTheme="minorHAnsi" w:cstheme="minorHAnsi"/>
          <w:sz w:val="22"/>
          <w:szCs w:val="22"/>
          <w:lang w:val="en-US"/>
        </w:rPr>
        <w:t>, DESFA will allocate the actual costs incurred</w:t>
      </w:r>
      <w:r w:rsidR="00CF0C61" w:rsidRPr="00B74333">
        <w:rPr>
          <w:rFonts w:asciiTheme="minorHAnsi" w:hAnsiTheme="minorHAnsi" w:cstheme="minorHAnsi"/>
          <w:sz w:val="22"/>
          <w:szCs w:val="22"/>
          <w:lang w:val="en-US"/>
        </w:rPr>
        <w:t xml:space="preserve"> by DESFA</w:t>
      </w:r>
      <w:r w:rsidRPr="00B74333">
        <w:rPr>
          <w:rFonts w:asciiTheme="minorHAnsi" w:hAnsiTheme="minorHAnsi" w:cstheme="minorHAnsi"/>
          <w:sz w:val="22"/>
          <w:szCs w:val="22"/>
          <w:lang w:val="en-US"/>
        </w:rPr>
        <w:t xml:space="preserve"> for the </w:t>
      </w:r>
      <w:r w:rsidR="00446717" w:rsidRPr="00B74333">
        <w:rPr>
          <w:rFonts w:asciiTheme="minorHAnsi" w:hAnsiTheme="minorHAnsi" w:cstheme="minorHAnsi"/>
          <w:sz w:val="22"/>
          <w:szCs w:val="22"/>
          <w:lang w:val="en-US"/>
        </w:rPr>
        <w:t>Market Test</w:t>
      </w:r>
      <w:r w:rsidRPr="00B74333">
        <w:rPr>
          <w:rFonts w:asciiTheme="minorHAnsi" w:hAnsiTheme="minorHAnsi" w:cstheme="minorHAnsi"/>
          <w:sz w:val="22"/>
          <w:szCs w:val="22"/>
          <w:lang w:val="en-US"/>
        </w:rPr>
        <w:t xml:space="preserve"> Process up to that point to each Participant, including the Company, to which capacity has been allocated, on a pro rata basis calculated on the basis of the amount of their</w:t>
      </w:r>
      <w:r w:rsidR="00E4089A" w:rsidRPr="00B74333">
        <w:rPr>
          <w:rFonts w:asciiTheme="minorHAnsi" w:hAnsiTheme="minorHAnsi" w:cstheme="minorHAnsi"/>
          <w:sz w:val="22"/>
          <w:szCs w:val="22"/>
          <w:lang w:val="en-US"/>
        </w:rPr>
        <w:t xml:space="preserve"> </w:t>
      </w:r>
      <w:r w:rsidR="0092585C" w:rsidRPr="00B74333">
        <w:rPr>
          <w:rFonts w:asciiTheme="minorHAnsi" w:hAnsiTheme="minorHAnsi" w:cstheme="minorHAnsi"/>
          <w:sz w:val="22"/>
          <w:szCs w:val="22"/>
          <w:lang w:val="en-US"/>
        </w:rPr>
        <w:t xml:space="preserve">GTA </w:t>
      </w:r>
      <w:r w:rsidR="00A7035F" w:rsidRPr="00B74333">
        <w:rPr>
          <w:rFonts w:asciiTheme="minorHAnsi" w:hAnsiTheme="minorHAnsi" w:cstheme="minorHAnsi"/>
          <w:sz w:val="22"/>
          <w:szCs w:val="22"/>
          <w:lang w:val="en-US"/>
        </w:rPr>
        <w:t>G</w:t>
      </w:r>
      <w:r w:rsidRPr="00B74333">
        <w:rPr>
          <w:rFonts w:asciiTheme="minorHAnsi" w:hAnsiTheme="minorHAnsi" w:cstheme="minorHAnsi"/>
          <w:sz w:val="22"/>
          <w:szCs w:val="22"/>
          <w:lang w:val="en-US"/>
        </w:rPr>
        <w:t>uarantee</w:t>
      </w:r>
      <w:r w:rsidR="0017296F"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as a proportion of the aggregate value of </w:t>
      </w:r>
      <w:r w:rsidR="0069285A" w:rsidRPr="00B74333">
        <w:rPr>
          <w:rFonts w:asciiTheme="minorHAnsi" w:hAnsiTheme="minorHAnsi" w:cstheme="minorHAnsi"/>
          <w:sz w:val="22"/>
          <w:szCs w:val="22"/>
          <w:lang w:val="en-US"/>
        </w:rPr>
        <w:t>the GTA</w:t>
      </w:r>
      <w:r w:rsidRPr="00B74333">
        <w:rPr>
          <w:rFonts w:asciiTheme="minorHAnsi" w:hAnsiTheme="minorHAnsi" w:cstheme="minorHAnsi"/>
          <w:sz w:val="22"/>
          <w:szCs w:val="22"/>
          <w:lang w:val="en-US"/>
        </w:rPr>
        <w:t xml:space="preserve"> </w:t>
      </w:r>
      <w:r w:rsidR="0069285A" w:rsidRPr="00B74333">
        <w:rPr>
          <w:rFonts w:asciiTheme="minorHAnsi" w:hAnsiTheme="minorHAnsi" w:cstheme="minorHAnsi"/>
          <w:sz w:val="22"/>
          <w:szCs w:val="22"/>
          <w:lang w:val="en-US"/>
        </w:rPr>
        <w:t>G</w:t>
      </w:r>
      <w:r w:rsidRPr="00B74333">
        <w:rPr>
          <w:rFonts w:asciiTheme="minorHAnsi" w:hAnsiTheme="minorHAnsi" w:cstheme="minorHAnsi"/>
          <w:sz w:val="22"/>
          <w:szCs w:val="22"/>
          <w:lang w:val="en-US"/>
        </w:rPr>
        <w:t xml:space="preserve">uarantees received by DESFA. </w:t>
      </w:r>
      <w:r w:rsidR="00E4089A" w:rsidRPr="00B74333">
        <w:rPr>
          <w:rFonts w:asciiTheme="minorHAnsi" w:hAnsiTheme="minorHAnsi" w:cstheme="minorHAnsi"/>
          <w:sz w:val="22"/>
          <w:szCs w:val="22"/>
          <w:lang w:val="en-US"/>
        </w:rPr>
        <w:t xml:space="preserve">The </w:t>
      </w:r>
      <w:r w:rsidRPr="00B74333">
        <w:rPr>
          <w:rFonts w:asciiTheme="minorHAnsi" w:hAnsiTheme="minorHAnsi" w:cstheme="minorHAnsi"/>
          <w:sz w:val="22"/>
          <w:szCs w:val="22"/>
          <w:lang w:val="en-US"/>
        </w:rPr>
        <w:t xml:space="preserve">pro rata cost </w:t>
      </w:r>
      <w:r w:rsidR="00E4089A" w:rsidRPr="00B74333">
        <w:rPr>
          <w:rFonts w:asciiTheme="minorHAnsi" w:hAnsiTheme="minorHAnsi" w:cstheme="minorHAnsi"/>
          <w:sz w:val="22"/>
          <w:szCs w:val="22"/>
          <w:lang w:val="en-US"/>
        </w:rPr>
        <w:t xml:space="preserve">attributable to the Company </w:t>
      </w:r>
      <w:r w:rsidR="00BB7901" w:rsidRPr="00B74333">
        <w:rPr>
          <w:rFonts w:asciiTheme="minorHAnsi" w:hAnsiTheme="minorHAnsi" w:cstheme="minorHAnsi"/>
          <w:sz w:val="22"/>
          <w:szCs w:val="22"/>
          <w:lang w:val="en-US"/>
        </w:rPr>
        <w:t>sha</w:t>
      </w:r>
      <w:r w:rsidRPr="00B74333">
        <w:rPr>
          <w:rFonts w:asciiTheme="minorHAnsi" w:hAnsiTheme="minorHAnsi" w:cstheme="minorHAnsi"/>
          <w:sz w:val="22"/>
          <w:szCs w:val="22"/>
          <w:lang w:val="en-US"/>
        </w:rPr>
        <w:t>ll be pa</w:t>
      </w:r>
      <w:r w:rsidR="00E4089A" w:rsidRPr="00B74333">
        <w:rPr>
          <w:rFonts w:asciiTheme="minorHAnsi" w:hAnsiTheme="minorHAnsi" w:cstheme="minorHAnsi"/>
          <w:sz w:val="22"/>
          <w:szCs w:val="22"/>
          <w:lang w:val="en-US"/>
        </w:rPr>
        <w:t>id</w:t>
      </w:r>
      <w:r w:rsidRPr="00B74333">
        <w:rPr>
          <w:rFonts w:asciiTheme="minorHAnsi" w:hAnsiTheme="minorHAnsi" w:cstheme="minorHAnsi"/>
          <w:sz w:val="22"/>
          <w:szCs w:val="22"/>
          <w:lang w:val="en-US"/>
        </w:rPr>
        <w:t xml:space="preserve"> by the </w:t>
      </w:r>
      <w:r w:rsidR="007D1232" w:rsidRPr="00B74333">
        <w:rPr>
          <w:rFonts w:asciiTheme="minorHAnsi" w:hAnsiTheme="minorHAnsi" w:cstheme="minorHAnsi"/>
          <w:sz w:val="22"/>
          <w:szCs w:val="22"/>
          <w:lang w:val="en-US"/>
        </w:rPr>
        <w:t>Company</w:t>
      </w:r>
      <w:r w:rsidRPr="00B74333">
        <w:rPr>
          <w:rFonts w:asciiTheme="minorHAnsi" w:hAnsiTheme="minorHAnsi" w:cstheme="minorHAnsi"/>
          <w:sz w:val="22"/>
          <w:szCs w:val="22"/>
          <w:lang w:val="en-US"/>
        </w:rPr>
        <w:t xml:space="preserve"> and, if not paid, may be recovered by DESFA under the relevant</w:t>
      </w:r>
      <w:r w:rsidR="0017296F" w:rsidRPr="00B74333">
        <w:rPr>
          <w:rFonts w:asciiTheme="minorHAnsi" w:hAnsiTheme="minorHAnsi" w:cstheme="minorHAnsi"/>
          <w:sz w:val="22"/>
          <w:szCs w:val="22"/>
          <w:lang w:val="en-US"/>
        </w:rPr>
        <w:t xml:space="preserve"> GTA</w:t>
      </w:r>
      <w:r w:rsidRPr="00B74333">
        <w:rPr>
          <w:rFonts w:asciiTheme="minorHAnsi" w:hAnsiTheme="minorHAnsi" w:cstheme="minorHAnsi"/>
          <w:sz w:val="22"/>
          <w:szCs w:val="22"/>
          <w:lang w:val="en-US"/>
        </w:rPr>
        <w:t xml:space="preserve"> </w:t>
      </w:r>
      <w:r w:rsidR="0069285A" w:rsidRPr="00B74333">
        <w:rPr>
          <w:rFonts w:asciiTheme="minorHAnsi" w:hAnsiTheme="minorHAnsi" w:cstheme="minorHAnsi"/>
          <w:sz w:val="22"/>
          <w:szCs w:val="22"/>
          <w:lang w:val="en-US"/>
        </w:rPr>
        <w:t>G</w:t>
      </w:r>
      <w:r w:rsidRPr="00B74333">
        <w:rPr>
          <w:rFonts w:asciiTheme="minorHAnsi" w:hAnsiTheme="minorHAnsi" w:cstheme="minorHAnsi"/>
          <w:sz w:val="22"/>
          <w:szCs w:val="22"/>
          <w:lang w:val="en-US"/>
        </w:rPr>
        <w:t>uarantee(s</w:t>
      </w:r>
      <w:proofErr w:type="gramStart"/>
      <w:r w:rsidRPr="00B74333">
        <w:rPr>
          <w:rFonts w:asciiTheme="minorHAnsi" w:hAnsiTheme="minorHAnsi" w:cstheme="minorHAnsi"/>
          <w:sz w:val="22"/>
          <w:szCs w:val="22"/>
          <w:lang w:val="en-US"/>
        </w:rPr>
        <w:t>);</w:t>
      </w:r>
      <w:proofErr w:type="gramEnd"/>
    </w:p>
    <w:p w14:paraId="12760712" w14:textId="61578917" w:rsidR="004138D5" w:rsidRPr="00B74333" w:rsidRDefault="004272BA"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If the Participant terminates the GTA for reasons not attributable to DESFA after the Step-out Deadline and until the Long Stop Date, it shall pay a penalty to DESFA equal to the value of the GTA Guarantee.</w:t>
      </w:r>
    </w:p>
    <w:p w14:paraId="2A92F3BA" w14:textId="10CB7530" w:rsidR="00D849C6" w:rsidRPr="00B74333" w:rsidRDefault="00741F4A"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The Company </w:t>
      </w:r>
      <w:r w:rsidR="00D77F31" w:rsidRPr="00B74333">
        <w:rPr>
          <w:rFonts w:asciiTheme="minorHAnsi" w:hAnsiTheme="minorHAnsi" w:cstheme="minorHAnsi"/>
          <w:sz w:val="22"/>
          <w:szCs w:val="22"/>
          <w:lang w:val="en-US"/>
        </w:rPr>
        <w:t>submits</w:t>
      </w:r>
      <w:r w:rsidRPr="00B74333">
        <w:rPr>
          <w:rFonts w:asciiTheme="minorHAnsi" w:hAnsiTheme="minorHAnsi" w:cstheme="minorHAnsi"/>
          <w:sz w:val="22"/>
          <w:szCs w:val="22"/>
          <w:lang w:val="en-US"/>
        </w:rPr>
        <w:t xml:space="preserve"> to DESFA, alongside with the Binding Bid Form, the Binding Bid Guarantee, as described in the</w:t>
      </w:r>
      <w:r w:rsidR="0017296F" w:rsidRPr="00B74333">
        <w:rPr>
          <w:rFonts w:asciiTheme="minorHAnsi" w:hAnsiTheme="minorHAnsi" w:cstheme="minorHAnsi"/>
          <w:sz w:val="22"/>
          <w:szCs w:val="22"/>
          <w:lang w:val="en-US"/>
        </w:rPr>
        <w:t xml:space="preserve"> Guidelines and the</w:t>
      </w:r>
      <w:r w:rsidRPr="00B74333">
        <w:rPr>
          <w:rFonts w:asciiTheme="minorHAnsi" w:hAnsiTheme="minorHAnsi" w:cstheme="minorHAnsi"/>
          <w:sz w:val="22"/>
          <w:szCs w:val="22"/>
          <w:lang w:val="en-US"/>
        </w:rPr>
        <w:t xml:space="preserve"> Project Proposal</w:t>
      </w:r>
      <w:r w:rsidR="00BA3DB9"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and in the form of Annex V, calculated in accordance with Section </w:t>
      </w:r>
      <w:r w:rsidR="00A43F85" w:rsidRPr="00B74333">
        <w:rPr>
          <w:rFonts w:asciiTheme="minorHAnsi" w:hAnsiTheme="minorHAnsi" w:cstheme="minorHAnsi"/>
          <w:sz w:val="22"/>
          <w:szCs w:val="22"/>
          <w:lang w:val="en-US"/>
        </w:rPr>
        <w:t>5</w:t>
      </w:r>
      <w:r w:rsidRPr="00B74333">
        <w:rPr>
          <w:rFonts w:asciiTheme="minorHAnsi" w:hAnsiTheme="minorHAnsi" w:cstheme="minorHAnsi"/>
          <w:sz w:val="22"/>
          <w:szCs w:val="22"/>
          <w:lang w:val="en-US"/>
        </w:rPr>
        <w:t xml:space="preserve">.1 of the </w:t>
      </w:r>
      <w:r w:rsidR="00A43F85" w:rsidRPr="00B74333">
        <w:rPr>
          <w:rFonts w:asciiTheme="minorHAnsi" w:hAnsiTheme="minorHAnsi" w:cstheme="minorHAnsi"/>
          <w:sz w:val="22"/>
          <w:szCs w:val="22"/>
          <w:lang w:val="en-US"/>
        </w:rPr>
        <w:t xml:space="preserve">Guidelines and </w:t>
      </w:r>
      <w:r w:rsidR="00077B0F" w:rsidRPr="00B74333">
        <w:rPr>
          <w:rFonts w:asciiTheme="minorHAnsi" w:hAnsiTheme="minorHAnsi" w:cstheme="minorHAnsi"/>
          <w:sz w:val="22"/>
          <w:szCs w:val="22"/>
          <w:lang w:val="en-US"/>
        </w:rPr>
        <w:t xml:space="preserve">the </w:t>
      </w:r>
      <w:r w:rsidRPr="00B74333">
        <w:rPr>
          <w:rFonts w:asciiTheme="minorHAnsi" w:hAnsiTheme="minorHAnsi" w:cstheme="minorHAnsi"/>
          <w:sz w:val="22"/>
          <w:szCs w:val="22"/>
          <w:lang w:val="en-US"/>
        </w:rPr>
        <w:t>Project Proposal</w:t>
      </w:r>
      <w:r w:rsidR="00077B0F"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and according to the parameters of Annex V</w:t>
      </w:r>
      <w:r w:rsidR="001C4570" w:rsidRPr="00B74333">
        <w:rPr>
          <w:rFonts w:asciiTheme="minorHAnsi" w:hAnsiTheme="minorHAnsi" w:cstheme="minorHAnsi"/>
          <w:sz w:val="22"/>
          <w:szCs w:val="22"/>
          <w:lang w:val="en-US"/>
        </w:rPr>
        <w:t>I</w:t>
      </w:r>
      <w:r w:rsidRPr="00B74333">
        <w:rPr>
          <w:rFonts w:asciiTheme="minorHAnsi" w:hAnsiTheme="minorHAnsi" w:cstheme="minorHAnsi"/>
          <w:sz w:val="22"/>
          <w:szCs w:val="22"/>
          <w:lang w:val="en-US"/>
        </w:rPr>
        <w:t>.</w:t>
      </w:r>
      <w:r w:rsidR="00077B0F" w:rsidRPr="00B74333">
        <w:rPr>
          <w:rFonts w:asciiTheme="minorHAnsi" w:hAnsiTheme="minorHAnsi" w:cstheme="minorHAnsi"/>
          <w:sz w:val="22"/>
          <w:szCs w:val="22"/>
          <w:lang w:val="en-US"/>
        </w:rPr>
        <w:t xml:space="preserve"> A</w:t>
      </w:r>
      <w:r w:rsidRPr="00B74333">
        <w:rPr>
          <w:rFonts w:asciiTheme="minorHAnsi" w:hAnsiTheme="minorHAnsi" w:cstheme="minorHAnsi"/>
          <w:sz w:val="22"/>
          <w:szCs w:val="22"/>
          <w:lang w:val="en-US"/>
        </w:rPr>
        <w:t xml:space="preserve"> </w:t>
      </w:r>
      <w:r w:rsidR="00D849C6" w:rsidRPr="00B74333">
        <w:rPr>
          <w:rFonts w:asciiTheme="minorHAnsi" w:hAnsiTheme="minorHAnsi" w:cstheme="minorHAnsi"/>
          <w:sz w:val="22"/>
          <w:szCs w:val="22"/>
          <w:lang w:val="en-US"/>
        </w:rPr>
        <w:t>Binding Bid by the Company will be accepted only within the limits of the guarantees which have been presented to DESFA according to the provisions of the</w:t>
      </w:r>
      <w:r w:rsidR="00D06181" w:rsidRPr="00B74333">
        <w:rPr>
          <w:rFonts w:asciiTheme="minorHAnsi" w:hAnsiTheme="minorHAnsi" w:cstheme="minorHAnsi"/>
          <w:sz w:val="22"/>
          <w:szCs w:val="22"/>
          <w:lang w:val="en-US"/>
        </w:rPr>
        <w:t xml:space="preserve"> Guidelines and the</w:t>
      </w:r>
      <w:r w:rsidR="00D849C6" w:rsidRPr="00B74333">
        <w:rPr>
          <w:rFonts w:asciiTheme="minorHAnsi" w:hAnsiTheme="minorHAnsi" w:cstheme="minorHAnsi"/>
          <w:sz w:val="22"/>
          <w:szCs w:val="22"/>
          <w:lang w:val="en-US"/>
        </w:rPr>
        <w:t xml:space="preserve"> Project </w:t>
      </w:r>
      <w:proofErr w:type="gramStart"/>
      <w:r w:rsidR="00D849C6" w:rsidRPr="00B74333">
        <w:rPr>
          <w:rFonts w:asciiTheme="minorHAnsi" w:hAnsiTheme="minorHAnsi" w:cstheme="minorHAnsi"/>
          <w:sz w:val="22"/>
          <w:szCs w:val="22"/>
          <w:lang w:val="en-US"/>
        </w:rPr>
        <w:t>Proposal</w:t>
      </w:r>
      <w:r w:rsidR="00D06181" w:rsidRPr="00B74333">
        <w:rPr>
          <w:rFonts w:asciiTheme="minorHAnsi" w:hAnsiTheme="minorHAnsi" w:cstheme="minorHAnsi"/>
          <w:sz w:val="22"/>
          <w:szCs w:val="22"/>
          <w:lang w:val="en-US"/>
        </w:rPr>
        <w:t>s</w:t>
      </w:r>
      <w:r w:rsidR="00D849C6" w:rsidRPr="00B74333">
        <w:rPr>
          <w:rFonts w:asciiTheme="minorHAnsi" w:hAnsiTheme="minorHAnsi" w:cstheme="minorHAnsi"/>
          <w:sz w:val="22"/>
          <w:szCs w:val="22"/>
          <w:lang w:val="en-US"/>
        </w:rPr>
        <w:t>;</w:t>
      </w:r>
      <w:proofErr w:type="gramEnd"/>
    </w:p>
    <w:p w14:paraId="629CF132" w14:textId="74815BEF"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By submitting the Binding Bid Form to DESFA, the Company agrees to the process outlined in the Joint Notice</w:t>
      </w:r>
      <w:r w:rsidR="00D06181"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including the process regarding the </w:t>
      </w:r>
      <w:r w:rsidR="00D06181" w:rsidRPr="00B74333">
        <w:rPr>
          <w:rFonts w:asciiTheme="minorHAnsi" w:hAnsiTheme="minorHAnsi" w:cstheme="minorHAnsi"/>
          <w:sz w:val="22"/>
          <w:szCs w:val="22"/>
          <w:lang w:val="en-US"/>
        </w:rPr>
        <w:t xml:space="preserve">Guidelines and </w:t>
      </w:r>
      <w:r w:rsidRPr="00B74333">
        <w:rPr>
          <w:rFonts w:asciiTheme="minorHAnsi" w:hAnsiTheme="minorHAnsi" w:cstheme="minorHAnsi"/>
          <w:sz w:val="22"/>
          <w:szCs w:val="22"/>
          <w:lang w:val="en-US"/>
        </w:rPr>
        <w:t>Project Proposal</w:t>
      </w:r>
      <w:r w:rsidR="00D06181"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and the potential liability of the Company for a pro rata share of the costs incurred by the respective TSOs for the </w:t>
      </w:r>
      <w:r w:rsidR="004909E3" w:rsidRPr="00B74333">
        <w:rPr>
          <w:rFonts w:asciiTheme="minorHAnsi" w:hAnsiTheme="minorHAnsi" w:cstheme="minorHAnsi"/>
          <w:sz w:val="22"/>
          <w:szCs w:val="22"/>
          <w:lang w:val="en-US"/>
        </w:rPr>
        <w:t xml:space="preserve">Market Test </w:t>
      </w:r>
      <w:r w:rsidRPr="00B74333">
        <w:rPr>
          <w:rFonts w:asciiTheme="minorHAnsi" w:hAnsiTheme="minorHAnsi" w:cstheme="minorHAnsi"/>
          <w:sz w:val="22"/>
          <w:szCs w:val="22"/>
          <w:lang w:val="en-US"/>
        </w:rPr>
        <w:t xml:space="preserve">Process up to that </w:t>
      </w:r>
      <w:proofErr w:type="gramStart"/>
      <w:r w:rsidRPr="00B74333">
        <w:rPr>
          <w:rFonts w:asciiTheme="minorHAnsi" w:hAnsiTheme="minorHAnsi" w:cstheme="minorHAnsi"/>
          <w:sz w:val="22"/>
          <w:szCs w:val="22"/>
          <w:lang w:val="en-US"/>
        </w:rPr>
        <w:t>point;</w:t>
      </w:r>
      <w:proofErr w:type="gramEnd"/>
    </w:p>
    <w:p w14:paraId="39DE0812" w14:textId="77777777"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By submitting this Binding Bid Form to DESFA, the Company accepts that said request will constitute an irrevocable commitment to enter a GTA with DESFA, subject to the successful outcome of the </w:t>
      </w:r>
      <w:proofErr w:type="gramStart"/>
      <w:r w:rsidRPr="00B74333">
        <w:rPr>
          <w:rFonts w:asciiTheme="minorHAnsi" w:hAnsiTheme="minorHAnsi" w:cstheme="minorHAnsi"/>
          <w:sz w:val="22"/>
          <w:szCs w:val="22"/>
          <w:lang w:val="en-US"/>
        </w:rPr>
        <w:t>EVT;</w:t>
      </w:r>
      <w:proofErr w:type="gramEnd"/>
    </w:p>
    <w:p w14:paraId="15E86C83" w14:textId="12028591"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All the information present in this Binding Bi</w:t>
      </w:r>
      <w:r w:rsidR="00E70BF9" w:rsidRPr="00B74333">
        <w:rPr>
          <w:rFonts w:asciiTheme="minorHAnsi" w:hAnsiTheme="minorHAnsi" w:cstheme="minorHAnsi"/>
          <w:sz w:val="22"/>
          <w:szCs w:val="22"/>
          <w:lang w:val="en-US"/>
        </w:rPr>
        <w:t>d</w:t>
      </w:r>
      <w:r w:rsidRPr="00B74333">
        <w:rPr>
          <w:rFonts w:asciiTheme="minorHAnsi" w:hAnsiTheme="minorHAnsi" w:cstheme="minorHAnsi"/>
          <w:sz w:val="22"/>
          <w:szCs w:val="22"/>
          <w:lang w:val="en-US"/>
        </w:rPr>
        <w:t>ding Form can be shared with the TSOs</w:t>
      </w:r>
      <w:r w:rsidR="002C44D8" w:rsidRPr="00B74333">
        <w:rPr>
          <w:rFonts w:asciiTheme="minorHAnsi" w:hAnsiTheme="minorHAnsi" w:cstheme="minorHAnsi"/>
          <w:sz w:val="22"/>
          <w:szCs w:val="22"/>
          <w:lang w:val="en-US"/>
        </w:rPr>
        <w:t xml:space="preserve"> Concerned</w:t>
      </w:r>
      <w:r w:rsidRPr="00B74333">
        <w:rPr>
          <w:rFonts w:asciiTheme="minorHAnsi" w:hAnsiTheme="minorHAnsi" w:cstheme="minorHAnsi"/>
          <w:sz w:val="22"/>
          <w:szCs w:val="22"/>
          <w:lang w:val="en-US"/>
        </w:rPr>
        <w:t xml:space="preserve"> for the assessment of the demand for incremental capacity at their joint Interconnection </w:t>
      </w:r>
      <w:proofErr w:type="gramStart"/>
      <w:r w:rsidRPr="00B74333">
        <w:rPr>
          <w:rFonts w:asciiTheme="minorHAnsi" w:hAnsiTheme="minorHAnsi" w:cstheme="minorHAnsi"/>
          <w:sz w:val="22"/>
          <w:szCs w:val="22"/>
          <w:lang w:val="en-US"/>
        </w:rPr>
        <w:t>Points;</w:t>
      </w:r>
      <w:proofErr w:type="gramEnd"/>
    </w:p>
    <w:p w14:paraId="1097AC7E" w14:textId="77777777"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All the communication about this procedure must be sent to the address </w:t>
      </w:r>
      <w:proofErr w:type="gramStart"/>
      <w:r w:rsidRPr="00B74333">
        <w:rPr>
          <w:rFonts w:asciiTheme="minorHAnsi" w:hAnsiTheme="minorHAnsi" w:cstheme="minorHAnsi"/>
          <w:sz w:val="22"/>
          <w:szCs w:val="22"/>
          <w:lang w:val="en-US"/>
        </w:rPr>
        <w:t>mentioned here</w:t>
      </w:r>
      <w:proofErr w:type="gramEnd"/>
      <w:r w:rsidRPr="00B74333">
        <w:rPr>
          <w:rFonts w:asciiTheme="minorHAnsi" w:hAnsiTheme="minorHAnsi" w:cstheme="minorHAnsi"/>
          <w:sz w:val="22"/>
          <w:szCs w:val="22"/>
          <w:lang w:val="en-US"/>
        </w:rPr>
        <w:t xml:space="preserve"> above. All submitted data and information, including the information herein, are true and </w:t>
      </w:r>
      <w:proofErr w:type="gramStart"/>
      <w:r w:rsidRPr="00B74333">
        <w:rPr>
          <w:rFonts w:asciiTheme="minorHAnsi" w:hAnsiTheme="minorHAnsi" w:cstheme="minorHAnsi"/>
          <w:sz w:val="22"/>
          <w:szCs w:val="22"/>
          <w:lang w:val="en-US"/>
        </w:rPr>
        <w:t>genuine;</w:t>
      </w:r>
      <w:proofErr w:type="gramEnd"/>
    </w:p>
    <w:p w14:paraId="25C11B84" w14:textId="05CAD496" w:rsidR="00D849C6" w:rsidRPr="00B74333" w:rsidRDefault="00D849C6" w:rsidP="007D7BFB">
      <w:pPr>
        <w:pStyle w:val="BodyText2"/>
        <w:numPr>
          <w:ilvl w:val="0"/>
          <w:numId w:val="34"/>
        </w:numPr>
        <w:tabs>
          <w:tab w:val="left" w:pos="0"/>
        </w:tabs>
        <w:spacing w:after="240"/>
        <w:ind w:left="567" w:hanging="141"/>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Any statement of possession of requirements (requests, commitments, </w:t>
      </w:r>
      <w:proofErr w:type="gramStart"/>
      <w:r w:rsidRPr="00B74333">
        <w:rPr>
          <w:rFonts w:asciiTheme="minorHAnsi" w:hAnsiTheme="minorHAnsi" w:cstheme="minorHAnsi"/>
          <w:sz w:val="22"/>
          <w:szCs w:val="22"/>
          <w:lang w:val="en-US"/>
        </w:rPr>
        <w:t>declarations</w:t>
      </w:r>
      <w:proofErr w:type="gramEnd"/>
      <w:r w:rsidRPr="00B74333">
        <w:rPr>
          <w:rFonts w:asciiTheme="minorHAnsi" w:hAnsiTheme="minorHAnsi" w:cstheme="minorHAnsi"/>
          <w:sz w:val="22"/>
          <w:szCs w:val="22"/>
          <w:lang w:val="en-US"/>
        </w:rPr>
        <w:t xml:space="preserve"> or acceptances), as well as any request/communication or expression of will, made by the Company, constitutes a formal obligation and commitment on the part of the Company, which accepts – even in respect of third parties – any and all liability arising from any breaches/errors or omissions.</w:t>
      </w:r>
    </w:p>
    <w:p w14:paraId="7D77B30C" w14:textId="0881E80C" w:rsidR="00007E84" w:rsidRPr="00B74333" w:rsidRDefault="00007E84" w:rsidP="001A64A1">
      <w:pPr>
        <w:pStyle w:val="ListParagraph"/>
        <w:numPr>
          <w:ilvl w:val="0"/>
          <w:numId w:val="76"/>
        </w:numPr>
        <w:autoSpaceDE w:val="0"/>
        <w:autoSpaceDN w:val="0"/>
        <w:adjustRightInd w:val="0"/>
        <w:spacing w:after="0" w:line="276" w:lineRule="auto"/>
        <w:jc w:val="both"/>
        <w:rPr>
          <w:rFonts w:cstheme="minorHAnsi"/>
          <w:color w:val="000000"/>
        </w:rPr>
      </w:pPr>
      <w:r w:rsidRPr="00B74333">
        <w:rPr>
          <w:rFonts w:cstheme="minorHAnsi"/>
          <w:color w:val="000000"/>
        </w:rPr>
        <w:t xml:space="preserve">Appoints as representative of the Company who can be contacted regarding the </w:t>
      </w:r>
      <w:r w:rsidR="00DB5294" w:rsidRPr="00B74333">
        <w:rPr>
          <w:rFonts w:cstheme="minorHAnsi"/>
          <w:color w:val="000000"/>
        </w:rPr>
        <w:t>Binding Bid</w:t>
      </w:r>
      <w:r w:rsidRPr="00B74333">
        <w:rPr>
          <w:rFonts w:cstheme="minorHAnsi"/>
          <w:color w:val="000000"/>
        </w:rPr>
        <w:t>:</w:t>
      </w:r>
    </w:p>
    <w:p w14:paraId="12919C48" w14:textId="77777777" w:rsidR="00BC0CA0" w:rsidRPr="00B74333" w:rsidRDefault="00BC0CA0" w:rsidP="00BC0CA0">
      <w:pPr>
        <w:pStyle w:val="ListParagraph"/>
        <w:autoSpaceDE w:val="0"/>
        <w:autoSpaceDN w:val="0"/>
        <w:adjustRightInd w:val="0"/>
        <w:spacing w:after="0" w:line="276" w:lineRule="auto"/>
        <w:ind w:left="360"/>
        <w:jc w:val="both"/>
        <w:rPr>
          <w:rFonts w:cstheme="minorHAnsi"/>
          <w:color w:val="000000"/>
        </w:rPr>
      </w:pPr>
    </w:p>
    <w:p w14:paraId="741CCCE4" w14:textId="77777777" w:rsidR="00007E84" w:rsidRPr="00B74333" w:rsidRDefault="00007E84" w:rsidP="00007E84">
      <w:pPr>
        <w:pStyle w:val="ListParagraph"/>
        <w:autoSpaceDE w:val="0"/>
        <w:autoSpaceDN w:val="0"/>
        <w:adjustRightInd w:val="0"/>
        <w:spacing w:after="0" w:line="276" w:lineRule="auto"/>
        <w:ind w:left="360"/>
        <w:jc w:val="both"/>
        <w:rPr>
          <w:rFonts w:cstheme="minorHAnsi"/>
        </w:rPr>
      </w:pPr>
    </w:p>
    <w:tbl>
      <w:tblPr>
        <w:tblW w:w="8787" w:type="dxa"/>
        <w:tblInd w:w="279" w:type="dxa"/>
        <w:tblCellMar>
          <w:left w:w="70" w:type="dxa"/>
          <w:right w:w="70" w:type="dxa"/>
        </w:tblCellMar>
        <w:tblLook w:val="04A0" w:firstRow="1" w:lastRow="0" w:firstColumn="1" w:lastColumn="0" w:noHBand="0" w:noVBand="1"/>
      </w:tblPr>
      <w:tblGrid>
        <w:gridCol w:w="8787"/>
      </w:tblGrid>
      <w:tr w:rsidR="00007E84" w:rsidRPr="00B74333" w14:paraId="1AA2E87C" w14:textId="77777777">
        <w:trPr>
          <w:trHeight w:val="402"/>
        </w:trPr>
        <w:tc>
          <w:tcPr>
            <w:tcW w:w="8787" w:type="dxa"/>
            <w:tcBorders>
              <w:top w:val="single" w:sz="4" w:space="0" w:color="808080"/>
              <w:left w:val="single" w:sz="4" w:space="0" w:color="808080"/>
              <w:bottom w:val="single" w:sz="4" w:space="0" w:color="808080"/>
              <w:right w:val="single" w:sz="4" w:space="0" w:color="808080"/>
            </w:tcBorders>
            <w:shd w:val="clear" w:color="000000" w:fill="1F497D"/>
            <w:vAlign w:val="center"/>
          </w:tcPr>
          <w:p w14:paraId="0FED38A6" w14:textId="77777777" w:rsidR="00007E84" w:rsidRPr="00B74333" w:rsidRDefault="00007E84">
            <w:pPr>
              <w:spacing w:after="0" w:line="240" w:lineRule="auto"/>
              <w:rPr>
                <w:rFonts w:eastAsia="Times New Roman" w:cstheme="minorHAnsi"/>
                <w:b/>
                <w:bCs/>
                <w:color w:val="FFFFFF"/>
                <w:sz w:val="20"/>
                <w:szCs w:val="20"/>
                <w:lang w:eastAsia="it-IT"/>
              </w:rPr>
            </w:pPr>
            <w:r w:rsidRPr="00B74333">
              <w:rPr>
                <w:rFonts w:eastAsia="Times New Roman" w:cstheme="minorHAnsi"/>
                <w:b/>
                <w:bCs/>
                <w:color w:val="FFFFFF"/>
                <w:sz w:val="20"/>
                <w:szCs w:val="20"/>
                <w:lang w:eastAsia="it-IT"/>
              </w:rPr>
              <w:lastRenderedPageBreak/>
              <w:t>CONTACT PERSON</w:t>
            </w:r>
          </w:p>
        </w:tc>
      </w:tr>
      <w:tr w:rsidR="00007E84" w:rsidRPr="00B74333" w14:paraId="65F021B7"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76BDAF04" w14:textId="77777777" w:rsidR="00007E84" w:rsidRPr="00B74333" w:rsidRDefault="00007E84">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SURNAME*:</w:t>
            </w:r>
          </w:p>
        </w:tc>
      </w:tr>
      <w:tr w:rsidR="00007E84" w:rsidRPr="00B74333" w14:paraId="6592209D"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484A4DA9" w14:textId="77777777" w:rsidR="00007E84" w:rsidRPr="00B74333" w:rsidRDefault="00007E84">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NAME *:</w:t>
            </w:r>
          </w:p>
        </w:tc>
      </w:tr>
      <w:tr w:rsidR="00007E84" w:rsidRPr="00B74333" w14:paraId="5FF1D82F"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31FA072B" w14:textId="77777777" w:rsidR="00007E84" w:rsidRPr="00B74333" w:rsidRDefault="00007E84">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PHONE/MOBILE*:</w:t>
            </w:r>
          </w:p>
        </w:tc>
      </w:tr>
      <w:tr w:rsidR="00007E84" w:rsidRPr="00B74333" w14:paraId="6E689101" w14:textId="77777777">
        <w:trPr>
          <w:trHeight w:val="402"/>
        </w:trPr>
        <w:tc>
          <w:tcPr>
            <w:tcW w:w="8787" w:type="dxa"/>
            <w:tcBorders>
              <w:top w:val="nil"/>
              <w:left w:val="single" w:sz="4" w:space="0" w:color="808080"/>
              <w:bottom w:val="single" w:sz="4" w:space="0" w:color="808080"/>
              <w:right w:val="single" w:sz="4" w:space="0" w:color="808080"/>
            </w:tcBorders>
            <w:vAlign w:val="center"/>
          </w:tcPr>
          <w:p w14:paraId="5BFF5B90" w14:textId="77777777" w:rsidR="00007E84" w:rsidRPr="00B74333" w:rsidRDefault="00007E84">
            <w:pPr>
              <w:spacing w:after="0" w:line="240" w:lineRule="auto"/>
              <w:rPr>
                <w:rFonts w:eastAsia="Times New Roman" w:cstheme="minorHAnsi"/>
                <w:color w:val="000000"/>
                <w:sz w:val="20"/>
                <w:szCs w:val="20"/>
                <w:lang w:eastAsia="it-IT"/>
              </w:rPr>
            </w:pPr>
            <w:r w:rsidRPr="00B74333">
              <w:rPr>
                <w:rFonts w:eastAsia="Times New Roman" w:cstheme="minorHAnsi"/>
                <w:color w:val="000000"/>
                <w:sz w:val="20"/>
                <w:szCs w:val="20"/>
                <w:lang w:eastAsia="it-IT"/>
              </w:rPr>
              <w:t>EMAIL ADDRESS*:</w:t>
            </w:r>
          </w:p>
        </w:tc>
      </w:tr>
    </w:tbl>
    <w:p w14:paraId="43EDA595" w14:textId="77777777" w:rsidR="00007E84" w:rsidRPr="00B74333" w:rsidRDefault="00007E84" w:rsidP="001A64A1">
      <w:pPr>
        <w:autoSpaceDE w:val="0"/>
        <w:autoSpaceDN w:val="0"/>
        <w:adjustRightInd w:val="0"/>
        <w:spacing w:after="0" w:line="276" w:lineRule="auto"/>
        <w:jc w:val="both"/>
        <w:rPr>
          <w:rFonts w:cstheme="minorHAnsi"/>
          <w:color w:val="000000"/>
        </w:rPr>
      </w:pPr>
    </w:p>
    <w:p w14:paraId="7C496433" w14:textId="3BEB10BB" w:rsidR="00D849C6" w:rsidRPr="00B74333" w:rsidRDefault="00D849C6" w:rsidP="001A64A1">
      <w:pPr>
        <w:pStyle w:val="ListParagraph"/>
        <w:numPr>
          <w:ilvl w:val="0"/>
          <w:numId w:val="76"/>
        </w:numPr>
        <w:autoSpaceDE w:val="0"/>
        <w:autoSpaceDN w:val="0"/>
        <w:adjustRightInd w:val="0"/>
        <w:spacing w:after="0" w:line="276" w:lineRule="auto"/>
        <w:jc w:val="both"/>
        <w:rPr>
          <w:rFonts w:cstheme="minorHAnsi"/>
          <w:color w:val="000000"/>
        </w:rPr>
      </w:pPr>
      <w:r w:rsidRPr="00B74333">
        <w:rPr>
          <w:rFonts w:cstheme="minorHAnsi"/>
          <w:color w:val="000000"/>
        </w:rPr>
        <w:t xml:space="preserve">And hereby </w:t>
      </w:r>
      <w:proofErr w:type="gramStart"/>
      <w:r w:rsidRPr="00B74333">
        <w:rPr>
          <w:rFonts w:cstheme="minorHAnsi"/>
          <w:color w:val="000000"/>
        </w:rPr>
        <w:t>submits</w:t>
      </w:r>
      <w:proofErr w:type="gramEnd"/>
    </w:p>
    <w:p w14:paraId="26960326" w14:textId="03392CEE" w:rsidR="00D849C6" w:rsidRPr="00B74333" w:rsidRDefault="00D849C6" w:rsidP="001A64A1">
      <w:pPr>
        <w:pStyle w:val="BodyText2"/>
        <w:tabs>
          <w:tab w:val="left" w:pos="0"/>
        </w:tabs>
        <w:spacing w:after="240" w:line="276" w:lineRule="auto"/>
        <w:rPr>
          <w:rFonts w:asciiTheme="minorHAnsi" w:hAnsiTheme="minorHAnsi" w:cstheme="minorHAnsi"/>
          <w:sz w:val="22"/>
          <w:szCs w:val="22"/>
          <w:lang w:val="en-US"/>
        </w:rPr>
      </w:pPr>
      <w:r w:rsidRPr="00B74333">
        <w:rPr>
          <w:rFonts w:asciiTheme="minorHAnsi" w:hAnsiTheme="minorHAnsi" w:cstheme="minorHAnsi"/>
          <w:sz w:val="22"/>
          <w:szCs w:val="22"/>
          <w:lang w:val="en-US"/>
        </w:rPr>
        <w:t xml:space="preserve">The following Binding Bid for the booking of incremental capacity </w:t>
      </w:r>
      <w:bookmarkStart w:id="75" w:name="_Hlk160183508"/>
      <w:r w:rsidR="003720B8" w:rsidRPr="00B74333">
        <w:rPr>
          <w:rFonts w:asciiTheme="minorHAnsi" w:hAnsiTheme="minorHAnsi" w:cstheme="minorHAnsi"/>
          <w:sz w:val="22"/>
          <w:szCs w:val="22"/>
          <w:lang w:val="en-US"/>
        </w:rPr>
        <w:t>a</w:t>
      </w:r>
      <w:r w:rsidRPr="00B74333">
        <w:rPr>
          <w:rFonts w:asciiTheme="minorHAnsi" w:hAnsiTheme="minorHAnsi" w:cstheme="minorHAnsi"/>
          <w:sz w:val="22"/>
          <w:szCs w:val="22"/>
          <w:lang w:val="en-US"/>
        </w:rPr>
        <w:t>t the DESFA</w:t>
      </w:r>
      <w:r w:rsidR="006D3F8F" w:rsidRPr="00B74333">
        <w:rPr>
          <w:rFonts w:asciiTheme="minorHAnsi" w:hAnsiTheme="minorHAnsi" w:cstheme="minorHAnsi"/>
          <w:sz w:val="22"/>
          <w:szCs w:val="22"/>
          <w:lang w:val="en-US"/>
        </w:rPr>
        <w:t>’s</w:t>
      </w:r>
      <w:r w:rsidRPr="00B74333">
        <w:rPr>
          <w:rFonts w:asciiTheme="minorHAnsi" w:hAnsiTheme="minorHAnsi" w:cstheme="minorHAnsi"/>
          <w:sz w:val="22"/>
          <w:szCs w:val="22"/>
          <w:lang w:val="en-US"/>
        </w:rPr>
        <w:t xml:space="preserve"> </w:t>
      </w:r>
      <w:r w:rsidR="006D3F8F" w:rsidRPr="00B74333">
        <w:rPr>
          <w:rFonts w:asciiTheme="minorHAnsi" w:hAnsiTheme="minorHAnsi" w:cstheme="minorHAnsi"/>
          <w:sz w:val="22"/>
          <w:szCs w:val="22"/>
          <w:lang w:val="en-US"/>
        </w:rPr>
        <w:t xml:space="preserve">side of the IPs and </w:t>
      </w:r>
      <w:bookmarkEnd w:id="75"/>
      <w:r w:rsidR="00B06513" w:rsidRPr="00B74333">
        <w:rPr>
          <w:rFonts w:asciiTheme="minorHAnsi" w:hAnsiTheme="minorHAnsi" w:cstheme="minorHAnsi"/>
          <w:sz w:val="22"/>
          <w:szCs w:val="22"/>
          <w:lang w:val="en-US"/>
        </w:rPr>
        <w:t xml:space="preserve">entry points </w:t>
      </w:r>
      <w:r w:rsidRPr="00B74333">
        <w:rPr>
          <w:rFonts w:asciiTheme="minorHAnsi" w:hAnsiTheme="minorHAnsi" w:cstheme="minorHAnsi"/>
          <w:sz w:val="22"/>
          <w:szCs w:val="22"/>
          <w:lang w:val="en-US"/>
        </w:rPr>
        <w:t xml:space="preserve">in the context of the </w:t>
      </w:r>
      <w:r w:rsidR="00F6160D" w:rsidRPr="00B74333">
        <w:rPr>
          <w:rFonts w:asciiTheme="minorHAnsi" w:hAnsiTheme="minorHAnsi" w:cstheme="minorHAnsi"/>
          <w:sz w:val="22"/>
          <w:szCs w:val="22"/>
          <w:lang w:val="en-US"/>
        </w:rPr>
        <w:t>Market Test</w:t>
      </w:r>
      <w:r w:rsidR="00F66684" w:rsidRPr="00B74333">
        <w:rPr>
          <w:rFonts w:asciiTheme="minorHAnsi" w:hAnsiTheme="minorHAnsi" w:cstheme="minorHAnsi"/>
          <w:sz w:val="22"/>
          <w:szCs w:val="22"/>
          <w:lang w:val="en-US"/>
        </w:rPr>
        <w:t xml:space="preserve"> </w:t>
      </w:r>
      <w:r w:rsidRPr="00B74333">
        <w:rPr>
          <w:rFonts w:asciiTheme="minorHAnsi" w:hAnsiTheme="minorHAnsi" w:cstheme="minorHAnsi"/>
          <w:sz w:val="22"/>
          <w:szCs w:val="22"/>
          <w:lang w:val="en-US"/>
        </w:rPr>
        <w:t>Process</w:t>
      </w:r>
      <w:r w:rsidR="004D433B" w:rsidRPr="00B74333">
        <w:rPr>
          <w:rFonts w:asciiTheme="minorHAnsi" w:hAnsiTheme="minorHAnsi" w:cstheme="minorHAnsi"/>
          <w:sz w:val="22"/>
          <w:szCs w:val="22"/>
          <w:lang w:val="en-US"/>
        </w:rPr>
        <w:t>:</w:t>
      </w:r>
    </w:p>
    <w:p w14:paraId="64037DC7" w14:textId="50AB8754" w:rsidR="00E70BF9" w:rsidRPr="00B74333" w:rsidRDefault="00E70BF9" w:rsidP="00D849C6">
      <w:pPr>
        <w:pStyle w:val="BodyText2"/>
        <w:tabs>
          <w:tab w:val="left" w:pos="0"/>
        </w:tabs>
        <w:spacing w:after="240" w:line="276" w:lineRule="auto"/>
        <w:ind w:left="284"/>
        <w:rPr>
          <w:rFonts w:asciiTheme="minorHAnsi" w:hAnsiTheme="minorHAnsi" w:cstheme="minorHAnsi"/>
          <w:lang w:val="en-US"/>
        </w:rPr>
      </w:pPr>
    </w:p>
    <w:p w14:paraId="74FD253D" w14:textId="47B9B269" w:rsidR="00D849C6" w:rsidRPr="00B74333" w:rsidRDefault="007640B9" w:rsidP="00E71159">
      <w:pPr>
        <w:jc w:val="center"/>
        <w:rPr>
          <w:rFonts w:cstheme="minorHAnsi"/>
          <w:b/>
          <w:szCs w:val="24"/>
        </w:rPr>
      </w:pPr>
      <w:r w:rsidRPr="00B74333">
        <w:rPr>
          <w:rFonts w:cstheme="minorHAnsi"/>
          <w:b/>
          <w:bCs/>
          <w:szCs w:val="24"/>
        </w:rPr>
        <w:br w:type="page"/>
      </w:r>
      <w:r w:rsidR="00D849C6" w:rsidRPr="00B74333">
        <w:rPr>
          <w:rFonts w:cstheme="minorHAnsi"/>
          <w:b/>
          <w:bCs/>
          <w:szCs w:val="24"/>
        </w:rPr>
        <w:lastRenderedPageBreak/>
        <w:t>BINDING BID</w:t>
      </w:r>
    </w:p>
    <w:tbl>
      <w:tblPr>
        <w:tblW w:w="5090" w:type="pct"/>
        <w:jc w:val="center"/>
        <w:tblLayout w:type="fixed"/>
        <w:tblCellMar>
          <w:left w:w="0" w:type="dxa"/>
          <w:right w:w="0" w:type="dxa"/>
        </w:tblCellMar>
        <w:tblLook w:val="04A0" w:firstRow="1" w:lastRow="0" w:firstColumn="1" w:lastColumn="0" w:noHBand="0" w:noVBand="1"/>
      </w:tblPr>
      <w:tblGrid>
        <w:gridCol w:w="224"/>
        <w:gridCol w:w="1655"/>
        <w:gridCol w:w="1495"/>
        <w:gridCol w:w="1572"/>
        <w:gridCol w:w="1416"/>
        <w:gridCol w:w="1372"/>
        <w:gridCol w:w="1471"/>
      </w:tblGrid>
      <w:tr w:rsidR="00DD11BF" w:rsidRPr="00B74333" w14:paraId="31225E10" w14:textId="307E19D4" w:rsidTr="009D41C8">
        <w:trPr>
          <w:jc w:val="center"/>
        </w:trPr>
        <w:tc>
          <w:tcPr>
            <w:tcW w:w="5000" w:type="pct"/>
            <w:gridSpan w:val="7"/>
            <w:tcBorders>
              <w:top w:val="single" w:sz="8" w:space="0" w:color="auto"/>
              <w:left w:val="single" w:sz="8" w:space="0" w:color="auto"/>
              <w:bottom w:val="single" w:sz="8" w:space="0" w:color="auto"/>
              <w:right w:val="single" w:sz="8" w:space="0" w:color="auto"/>
            </w:tcBorders>
          </w:tcPr>
          <w:p w14:paraId="70B1B5F3" w14:textId="5FAA9412" w:rsidR="00DD11BF" w:rsidRPr="00B74333" w:rsidRDefault="00DD11BF" w:rsidP="00D849C6">
            <w:pPr>
              <w:spacing w:before="240"/>
              <w:ind w:left="129"/>
              <w:rPr>
                <w:rFonts w:cstheme="minorHAnsi"/>
                <w:b/>
                <w:bCs/>
              </w:rPr>
            </w:pPr>
            <w:r w:rsidRPr="00B74333">
              <w:rPr>
                <w:rFonts w:cstheme="minorHAnsi"/>
                <w:b/>
                <w:bCs/>
              </w:rPr>
              <w:t xml:space="preserve">Firm Capacity in DESFA </w:t>
            </w:r>
            <w:proofErr w:type="gramStart"/>
            <w:r w:rsidRPr="00B74333">
              <w:rPr>
                <w:rFonts w:cstheme="minorHAnsi"/>
                <w:b/>
                <w:bCs/>
              </w:rPr>
              <w:t>System</w:t>
            </w:r>
            <w:r w:rsidRPr="00B74333">
              <w:rPr>
                <w:rFonts w:cstheme="minorHAnsi"/>
                <w:b/>
                <w:bCs/>
                <w:vertAlign w:val="superscript"/>
              </w:rPr>
              <w:t>[</w:t>
            </w:r>
            <w:proofErr w:type="gramEnd"/>
            <w:r w:rsidRPr="00B74333">
              <w:rPr>
                <w:rFonts w:cstheme="minorHAnsi"/>
                <w:b/>
                <w:bCs/>
                <w:vertAlign w:val="superscript"/>
              </w:rPr>
              <w:t>1]</w:t>
            </w:r>
          </w:p>
        </w:tc>
      </w:tr>
      <w:tr w:rsidR="00C27AEA" w:rsidRPr="00B74333" w14:paraId="546886A9" w14:textId="3C085C5F" w:rsidTr="009D41C8">
        <w:trPr>
          <w:jc w:val="center"/>
        </w:trPr>
        <w:tc>
          <w:tcPr>
            <w:tcW w:w="122" w:type="pct"/>
            <w:tcBorders>
              <w:top w:val="nil"/>
              <w:left w:val="single" w:sz="8" w:space="0" w:color="auto"/>
              <w:bottom w:val="single" w:sz="4" w:space="0" w:color="auto"/>
              <w:right w:val="single" w:sz="8" w:space="0" w:color="auto"/>
            </w:tcBorders>
          </w:tcPr>
          <w:p w14:paraId="0E7F56AB" w14:textId="77777777" w:rsidR="00DD11BF" w:rsidRPr="00B74333" w:rsidRDefault="00DD11BF" w:rsidP="00D849C6">
            <w:pPr>
              <w:spacing w:after="0"/>
              <w:rPr>
                <w:rFonts w:cstheme="minorHAnsi"/>
                <w:b/>
                <w:bCs/>
              </w:rPr>
            </w:pPr>
          </w:p>
        </w:tc>
        <w:tc>
          <w:tcPr>
            <w:tcW w:w="89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62CA334" w14:textId="20626594" w:rsidR="00DD11BF" w:rsidRPr="00B74333" w:rsidRDefault="00DD11BF" w:rsidP="009D41C8">
            <w:pPr>
              <w:spacing w:after="0"/>
              <w:jc w:val="center"/>
              <w:rPr>
                <w:rFonts w:cstheme="minorHAnsi"/>
                <w:b/>
                <w:bCs/>
              </w:rPr>
            </w:pPr>
            <w:r w:rsidRPr="00B74333">
              <w:rPr>
                <w:rFonts w:cstheme="minorHAnsi"/>
                <w:b/>
                <w:bCs/>
              </w:rPr>
              <w:t>Entry/Exit Point</w:t>
            </w:r>
          </w:p>
        </w:tc>
        <w:tc>
          <w:tcPr>
            <w:tcW w:w="812" w:type="pct"/>
            <w:tcBorders>
              <w:top w:val="nil"/>
              <w:left w:val="nil"/>
              <w:bottom w:val="single" w:sz="4" w:space="0" w:color="auto"/>
              <w:right w:val="single" w:sz="8" w:space="0" w:color="auto"/>
            </w:tcBorders>
            <w:tcMar>
              <w:top w:w="0" w:type="dxa"/>
              <w:left w:w="108" w:type="dxa"/>
              <w:bottom w:w="0" w:type="dxa"/>
              <w:right w:w="108" w:type="dxa"/>
            </w:tcMar>
            <w:hideMark/>
          </w:tcPr>
          <w:p w14:paraId="09142906" w14:textId="77777777" w:rsidR="001D5AF1" w:rsidRPr="00B74333" w:rsidRDefault="00DD11BF" w:rsidP="009D41C8">
            <w:pPr>
              <w:spacing w:after="0"/>
              <w:jc w:val="center"/>
              <w:rPr>
                <w:rFonts w:cstheme="minorHAnsi"/>
                <w:b/>
                <w:bCs/>
              </w:rPr>
            </w:pPr>
            <w:r w:rsidRPr="00B74333">
              <w:rPr>
                <w:rFonts w:cstheme="minorHAnsi"/>
                <w:b/>
                <w:bCs/>
              </w:rPr>
              <w:t>Requested Capacity</w:t>
            </w:r>
          </w:p>
          <w:p w14:paraId="397DEDDD" w14:textId="5F79C98B" w:rsidR="00DD11BF" w:rsidRPr="00B74333" w:rsidRDefault="001D5AF1" w:rsidP="009D41C8">
            <w:pPr>
              <w:spacing w:after="0"/>
              <w:jc w:val="center"/>
              <w:rPr>
                <w:rFonts w:cstheme="minorHAnsi"/>
                <w:b/>
                <w:bCs/>
              </w:rPr>
            </w:pPr>
            <w:r w:rsidRPr="00B74333">
              <w:rPr>
                <w:rFonts w:cstheme="minorHAnsi"/>
                <w:b/>
                <w:bCs/>
              </w:rPr>
              <w:t xml:space="preserve">[in </w:t>
            </w:r>
            <w:r w:rsidR="00DD11BF" w:rsidRPr="00B74333">
              <w:rPr>
                <w:rFonts w:cstheme="minorHAnsi"/>
                <w:b/>
                <w:bCs/>
              </w:rPr>
              <w:t xml:space="preserve">kWh per Gas </w:t>
            </w:r>
            <w:proofErr w:type="gramStart"/>
            <w:r w:rsidR="00DD11BF" w:rsidRPr="00B74333">
              <w:rPr>
                <w:rFonts w:cstheme="minorHAnsi"/>
                <w:b/>
                <w:bCs/>
              </w:rPr>
              <w:t>Day</w:t>
            </w:r>
            <w:r w:rsidR="00DD11BF" w:rsidRPr="00B74333">
              <w:rPr>
                <w:rFonts w:cstheme="minorHAnsi"/>
                <w:b/>
                <w:bCs/>
                <w:vertAlign w:val="superscript"/>
              </w:rPr>
              <w:t>[</w:t>
            </w:r>
            <w:proofErr w:type="gramEnd"/>
            <w:r w:rsidR="00DD11BF" w:rsidRPr="00B74333">
              <w:rPr>
                <w:rFonts w:cstheme="minorHAnsi"/>
                <w:b/>
                <w:bCs/>
                <w:vertAlign w:val="superscript"/>
              </w:rPr>
              <w:t>2]</w:t>
            </w:r>
            <w:r w:rsidRPr="00B74333">
              <w:rPr>
                <w:rFonts w:cstheme="minorHAnsi"/>
                <w:b/>
                <w:bCs/>
              </w:rPr>
              <w:t>]</w:t>
            </w:r>
          </w:p>
        </w:tc>
        <w:tc>
          <w:tcPr>
            <w:tcW w:w="854" w:type="pct"/>
            <w:tcBorders>
              <w:top w:val="nil"/>
              <w:left w:val="nil"/>
              <w:bottom w:val="single" w:sz="4" w:space="0" w:color="auto"/>
              <w:right w:val="single" w:sz="8" w:space="0" w:color="auto"/>
            </w:tcBorders>
            <w:tcMar>
              <w:top w:w="0" w:type="dxa"/>
              <w:left w:w="108" w:type="dxa"/>
              <w:bottom w:w="0" w:type="dxa"/>
              <w:right w:w="108" w:type="dxa"/>
            </w:tcMar>
            <w:hideMark/>
          </w:tcPr>
          <w:p w14:paraId="2F1B074F" w14:textId="2EC79CCA" w:rsidR="00DD11BF" w:rsidRPr="00B74333" w:rsidRDefault="00DD11BF" w:rsidP="009D41C8">
            <w:pPr>
              <w:spacing w:after="0"/>
              <w:jc w:val="center"/>
              <w:rPr>
                <w:rFonts w:cstheme="minorHAnsi"/>
                <w:b/>
                <w:bCs/>
              </w:rPr>
            </w:pPr>
            <w:r w:rsidRPr="00B74333">
              <w:rPr>
                <w:rFonts w:cstheme="minorHAnsi"/>
                <w:b/>
                <w:bCs/>
              </w:rPr>
              <w:t xml:space="preserve">Start </w:t>
            </w:r>
            <w:r w:rsidR="00C27AEA" w:rsidRPr="00B74333">
              <w:rPr>
                <w:rFonts w:cstheme="minorHAnsi"/>
                <w:b/>
                <w:bCs/>
              </w:rPr>
              <w:t xml:space="preserve">Gas Year </w:t>
            </w:r>
            <w:r w:rsidR="00E40FC8" w:rsidRPr="00B74333">
              <w:rPr>
                <w:rFonts w:cstheme="minorHAnsi"/>
                <w:b/>
                <w:bCs/>
                <w:sz w:val="20"/>
                <w:szCs w:val="20"/>
              </w:rPr>
              <w:t>[YY</w:t>
            </w:r>
            <w:r w:rsidR="00E40FC8" w:rsidRPr="00B74333">
              <w:rPr>
                <w:rFonts w:cstheme="minorHAnsi"/>
                <w:b/>
                <w:bCs/>
                <w:sz w:val="20"/>
                <w:szCs w:val="20"/>
                <w:vertAlign w:val="subscript"/>
              </w:rPr>
              <w:t>1</w:t>
            </w:r>
            <w:r w:rsidR="00E40FC8" w:rsidRPr="00B74333">
              <w:rPr>
                <w:rFonts w:cstheme="minorHAnsi"/>
                <w:b/>
                <w:bCs/>
                <w:sz w:val="20"/>
                <w:szCs w:val="20"/>
              </w:rPr>
              <w:t>/YY</w:t>
            </w:r>
            <w:r w:rsidR="00E40FC8" w:rsidRPr="00B74333">
              <w:rPr>
                <w:rFonts w:cstheme="minorHAnsi"/>
                <w:b/>
                <w:bCs/>
                <w:sz w:val="20"/>
                <w:szCs w:val="20"/>
                <w:vertAlign w:val="subscript"/>
              </w:rPr>
              <w:t>2</w:t>
            </w:r>
            <w:r w:rsidR="00E40FC8" w:rsidRPr="00B74333">
              <w:rPr>
                <w:rFonts w:cstheme="minorHAnsi"/>
                <w:b/>
                <w:bCs/>
                <w:sz w:val="20"/>
                <w:szCs w:val="20"/>
              </w:rPr>
              <w:t>]</w:t>
            </w:r>
          </w:p>
        </w:tc>
        <w:tc>
          <w:tcPr>
            <w:tcW w:w="769" w:type="pct"/>
            <w:tcBorders>
              <w:top w:val="nil"/>
              <w:left w:val="nil"/>
              <w:bottom w:val="single" w:sz="4" w:space="0" w:color="auto"/>
              <w:right w:val="single" w:sz="8" w:space="0" w:color="auto"/>
            </w:tcBorders>
            <w:tcMar>
              <w:top w:w="0" w:type="dxa"/>
              <w:left w:w="108" w:type="dxa"/>
              <w:bottom w:w="0" w:type="dxa"/>
              <w:right w:w="108" w:type="dxa"/>
            </w:tcMar>
            <w:hideMark/>
          </w:tcPr>
          <w:p w14:paraId="3AF43B3D" w14:textId="38AB0616" w:rsidR="00DD11BF" w:rsidRPr="00B74333" w:rsidRDefault="00DD11BF" w:rsidP="009D41C8">
            <w:pPr>
              <w:spacing w:after="0"/>
              <w:jc w:val="center"/>
              <w:rPr>
                <w:rFonts w:cstheme="minorHAnsi"/>
                <w:b/>
                <w:bCs/>
              </w:rPr>
            </w:pPr>
            <w:r w:rsidRPr="00B74333">
              <w:rPr>
                <w:rFonts w:cstheme="minorHAnsi"/>
                <w:b/>
                <w:bCs/>
              </w:rPr>
              <w:t xml:space="preserve">End </w:t>
            </w:r>
            <w:r w:rsidR="00C27AEA" w:rsidRPr="00B74333">
              <w:rPr>
                <w:rFonts w:cstheme="minorHAnsi"/>
                <w:b/>
                <w:bCs/>
              </w:rPr>
              <w:t xml:space="preserve">Gas Year </w:t>
            </w:r>
            <w:r w:rsidR="00E40FC8" w:rsidRPr="00B74333">
              <w:rPr>
                <w:rFonts w:cstheme="minorHAnsi"/>
                <w:b/>
                <w:bCs/>
                <w:sz w:val="20"/>
                <w:szCs w:val="20"/>
              </w:rPr>
              <w:t>[YYn/YYn+1]</w:t>
            </w:r>
          </w:p>
        </w:tc>
        <w:tc>
          <w:tcPr>
            <w:tcW w:w="745" w:type="pct"/>
            <w:tcBorders>
              <w:top w:val="nil"/>
              <w:left w:val="nil"/>
              <w:bottom w:val="single" w:sz="4" w:space="0" w:color="auto"/>
              <w:right w:val="single" w:sz="8" w:space="0" w:color="auto"/>
            </w:tcBorders>
            <w:tcMar>
              <w:top w:w="0" w:type="dxa"/>
              <w:left w:w="108" w:type="dxa"/>
              <w:bottom w:w="0" w:type="dxa"/>
              <w:right w:w="108" w:type="dxa"/>
            </w:tcMar>
            <w:hideMark/>
          </w:tcPr>
          <w:p w14:paraId="46916F52" w14:textId="54CA1437" w:rsidR="00DD11BF" w:rsidRPr="00B74333" w:rsidRDefault="008C1379" w:rsidP="009D41C8">
            <w:pPr>
              <w:spacing w:after="0"/>
              <w:jc w:val="center"/>
              <w:rPr>
                <w:rFonts w:cstheme="minorHAnsi"/>
                <w:b/>
                <w:bCs/>
              </w:rPr>
            </w:pPr>
            <w:r w:rsidRPr="00B74333">
              <w:rPr>
                <w:rFonts w:cstheme="minorHAnsi"/>
                <w:b/>
                <w:bCs/>
              </w:rPr>
              <w:t>Is Capacity reduction acceptable</w:t>
            </w:r>
          </w:p>
        </w:tc>
        <w:tc>
          <w:tcPr>
            <w:tcW w:w="799" w:type="pct"/>
            <w:tcBorders>
              <w:top w:val="nil"/>
              <w:left w:val="nil"/>
              <w:bottom w:val="single" w:sz="4" w:space="0" w:color="auto"/>
              <w:right w:val="single" w:sz="8" w:space="0" w:color="auto"/>
            </w:tcBorders>
          </w:tcPr>
          <w:p w14:paraId="27CC837A" w14:textId="67765706" w:rsidR="00DD11BF" w:rsidRPr="00B74333" w:rsidRDefault="004C4A8C" w:rsidP="009D41C8">
            <w:pPr>
              <w:spacing w:after="0"/>
              <w:jc w:val="center"/>
              <w:rPr>
                <w:rFonts w:cstheme="minorHAnsi"/>
                <w:b/>
                <w:bCs/>
              </w:rPr>
            </w:pPr>
            <w:r w:rsidRPr="00B74333">
              <w:rPr>
                <w:rFonts w:cstheme="minorHAnsi"/>
                <w:b/>
                <w:bCs/>
              </w:rPr>
              <w:t xml:space="preserve">Is </w:t>
            </w:r>
            <w:r w:rsidR="00E73489" w:rsidRPr="00B74333">
              <w:rPr>
                <w:rFonts w:cstheme="minorHAnsi"/>
                <w:b/>
                <w:bCs/>
              </w:rPr>
              <w:t>c</w:t>
            </w:r>
            <w:r w:rsidR="00573721" w:rsidRPr="00B74333">
              <w:rPr>
                <w:rFonts w:cstheme="minorHAnsi"/>
                <w:b/>
                <w:bCs/>
              </w:rPr>
              <w:t>onversion of Linked</w:t>
            </w:r>
            <w:r w:rsidR="00BB67DB" w:rsidRPr="00B74333">
              <w:rPr>
                <w:rFonts w:cstheme="minorHAnsi"/>
                <w:b/>
                <w:bCs/>
              </w:rPr>
              <w:t xml:space="preserve"> </w:t>
            </w:r>
            <w:r w:rsidR="00BB67DB" w:rsidRPr="00B74333">
              <w:rPr>
                <w:rFonts w:cstheme="minorHAnsi"/>
                <w:b/>
                <w:bCs/>
                <w:vertAlign w:val="superscript"/>
              </w:rPr>
              <w:t>[5]</w:t>
            </w:r>
            <w:r w:rsidR="00573721" w:rsidRPr="00B74333">
              <w:rPr>
                <w:rFonts w:cstheme="minorHAnsi"/>
                <w:b/>
                <w:bCs/>
              </w:rPr>
              <w:t xml:space="preserve"> Bi</w:t>
            </w:r>
            <w:r w:rsidR="00B60848" w:rsidRPr="00B74333">
              <w:rPr>
                <w:rFonts w:cstheme="minorHAnsi"/>
                <w:b/>
                <w:bCs/>
              </w:rPr>
              <w:t>d</w:t>
            </w:r>
            <w:r w:rsidR="00934436" w:rsidRPr="00B74333">
              <w:rPr>
                <w:rFonts w:cstheme="minorHAnsi"/>
                <w:b/>
                <w:bCs/>
              </w:rPr>
              <w:t>s</w:t>
            </w:r>
            <w:r w:rsidR="00573721" w:rsidRPr="00B74333">
              <w:rPr>
                <w:rFonts w:cstheme="minorHAnsi"/>
                <w:b/>
                <w:bCs/>
              </w:rPr>
              <w:t xml:space="preserve"> to Coupled</w:t>
            </w:r>
            <w:r w:rsidR="00BB67DB" w:rsidRPr="00B74333">
              <w:rPr>
                <w:rFonts w:cstheme="minorHAnsi"/>
                <w:b/>
                <w:bCs/>
              </w:rPr>
              <w:t xml:space="preserve"> </w:t>
            </w:r>
            <w:r w:rsidR="00BB67DB" w:rsidRPr="00B74333">
              <w:rPr>
                <w:rFonts w:cstheme="minorHAnsi"/>
                <w:b/>
                <w:bCs/>
                <w:vertAlign w:val="superscript"/>
              </w:rPr>
              <w:t>[6]</w:t>
            </w:r>
            <w:r w:rsidR="00573721" w:rsidRPr="00B74333">
              <w:rPr>
                <w:rFonts w:cstheme="minorHAnsi"/>
                <w:b/>
                <w:bCs/>
              </w:rPr>
              <w:t xml:space="preserve"> Capacity Products</w:t>
            </w:r>
            <w:r w:rsidR="00E73489" w:rsidRPr="00B74333">
              <w:rPr>
                <w:rFonts w:cstheme="minorHAnsi"/>
                <w:b/>
                <w:bCs/>
              </w:rPr>
              <w:t xml:space="preserve"> acceptable</w:t>
            </w:r>
          </w:p>
        </w:tc>
      </w:tr>
      <w:tr w:rsidR="00C27AEA" w:rsidRPr="00B74333" w14:paraId="2583C4D3" w14:textId="3CA8CA66" w:rsidTr="009D41C8">
        <w:trPr>
          <w:jc w:val="center"/>
        </w:trPr>
        <w:tc>
          <w:tcPr>
            <w:tcW w:w="122" w:type="pct"/>
            <w:tcBorders>
              <w:top w:val="single" w:sz="4" w:space="0" w:color="auto"/>
              <w:left w:val="single" w:sz="4" w:space="0" w:color="auto"/>
              <w:bottom w:val="single" w:sz="4" w:space="0" w:color="auto"/>
              <w:right w:val="single" w:sz="4" w:space="0" w:color="auto"/>
            </w:tcBorders>
          </w:tcPr>
          <w:p w14:paraId="4902F47C" w14:textId="7FBC8143" w:rsidR="00DD11BF" w:rsidRPr="00B74333" w:rsidRDefault="004D1389" w:rsidP="00D849C6">
            <w:pPr>
              <w:rPr>
                <w:rFonts w:cstheme="minorHAnsi"/>
                <w:b/>
                <w:iCs/>
                <w:color w:val="0070C0"/>
                <w:sz w:val="20"/>
                <w:szCs w:val="20"/>
              </w:rPr>
            </w:pPr>
            <w:r w:rsidRPr="00B74333">
              <w:rPr>
                <w:rFonts w:cstheme="minorHAnsi"/>
                <w:b/>
                <w:iCs/>
                <w:color w:val="0070C0"/>
                <w:sz w:val="20"/>
                <w:szCs w:val="20"/>
              </w:rPr>
              <w:t xml:space="preserve"> </w:t>
            </w:r>
            <w:r w:rsidR="00DD11BF" w:rsidRPr="00B74333">
              <w:rPr>
                <w:rFonts w:cstheme="minorHAnsi"/>
                <w:b/>
                <w:iCs/>
                <w:color w:val="0070C0"/>
                <w:sz w:val="20"/>
                <w:szCs w:val="20"/>
              </w:rPr>
              <w:t>1.</w:t>
            </w:r>
          </w:p>
        </w:tc>
        <w:tc>
          <w:tcPr>
            <w:tcW w:w="8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406C8E" w14:textId="37E695DE" w:rsidR="00DD11BF" w:rsidRPr="00B74333" w:rsidRDefault="00DD11BF" w:rsidP="009D41C8">
            <w:pPr>
              <w:spacing w:after="0"/>
              <w:jc w:val="both"/>
              <w:rPr>
                <w:rFonts w:cstheme="minorHAnsi"/>
                <w:b/>
                <w:iCs/>
                <w:color w:val="0070C0"/>
                <w:sz w:val="20"/>
                <w:szCs w:val="20"/>
              </w:rPr>
            </w:pPr>
            <w:r w:rsidRPr="00B74333">
              <w:rPr>
                <w:rFonts w:cstheme="minorHAnsi"/>
                <w:b/>
                <w:iCs/>
                <w:color w:val="0070C0"/>
                <w:sz w:val="20"/>
                <w:szCs w:val="20"/>
              </w:rPr>
              <w:t xml:space="preserve">Entry </w:t>
            </w:r>
            <w:r w:rsidR="00CF0044" w:rsidRPr="00B74333">
              <w:rPr>
                <w:rFonts w:cstheme="minorHAnsi"/>
                <w:b/>
                <w:iCs/>
                <w:color w:val="0070C0"/>
                <w:sz w:val="20"/>
                <w:szCs w:val="20"/>
              </w:rPr>
              <w:t>C</w:t>
            </w:r>
            <w:r w:rsidRPr="00B74333">
              <w:rPr>
                <w:rFonts w:cstheme="minorHAnsi"/>
                <w:b/>
                <w:iCs/>
                <w:color w:val="0070C0"/>
                <w:sz w:val="20"/>
                <w:szCs w:val="20"/>
              </w:rPr>
              <w:t xml:space="preserve">apacity / Exit </w:t>
            </w:r>
            <w:r w:rsidR="00CF0044" w:rsidRPr="00B74333">
              <w:rPr>
                <w:rFonts w:cstheme="minorHAnsi"/>
                <w:b/>
                <w:iCs/>
                <w:color w:val="0070C0"/>
                <w:sz w:val="20"/>
                <w:szCs w:val="20"/>
              </w:rPr>
              <w:t>C</w:t>
            </w:r>
            <w:r w:rsidRPr="00B74333">
              <w:rPr>
                <w:rFonts w:cstheme="minorHAnsi"/>
                <w:b/>
                <w:iCs/>
                <w:color w:val="0070C0"/>
                <w:sz w:val="20"/>
                <w:szCs w:val="20"/>
              </w:rPr>
              <w:t>apacity</w:t>
            </w:r>
          </w:p>
          <w:p w14:paraId="05934819" w14:textId="77777777" w:rsidR="005C3A04" w:rsidRPr="00B74333" w:rsidRDefault="005C3A04" w:rsidP="009D41C8">
            <w:pPr>
              <w:spacing w:after="0"/>
              <w:jc w:val="both"/>
              <w:rPr>
                <w:rFonts w:cstheme="minorHAnsi"/>
                <w:b/>
                <w:iCs/>
                <w:color w:val="0070C0"/>
                <w:sz w:val="20"/>
                <w:szCs w:val="20"/>
              </w:rPr>
            </w:pPr>
          </w:p>
          <w:p w14:paraId="2D636023" w14:textId="2082290A" w:rsidR="00DD11BF" w:rsidRPr="00B74333" w:rsidRDefault="00DD11BF" w:rsidP="009D41C8">
            <w:pPr>
              <w:jc w:val="both"/>
              <w:rPr>
                <w:rFonts w:cstheme="minorHAnsi"/>
                <w:i/>
                <w:iCs/>
                <w:sz w:val="20"/>
                <w:szCs w:val="20"/>
              </w:rPr>
            </w:pPr>
            <w:r w:rsidRPr="00B74333">
              <w:rPr>
                <w:rFonts w:cstheme="minorHAnsi"/>
                <w:i/>
                <w:color w:val="808080" w:themeColor="background1" w:themeShade="80"/>
                <w:sz w:val="20"/>
                <w:szCs w:val="20"/>
              </w:rPr>
              <w:t xml:space="preserve">[Please indicate the </w:t>
            </w:r>
            <w:r w:rsidR="00F91BBE" w:rsidRPr="00B74333">
              <w:rPr>
                <w:rFonts w:cstheme="minorHAnsi"/>
                <w:i/>
                <w:color w:val="808080" w:themeColor="background1" w:themeShade="80"/>
                <w:sz w:val="20"/>
                <w:szCs w:val="20"/>
              </w:rPr>
              <w:t>e</w:t>
            </w:r>
            <w:r w:rsidR="00195489" w:rsidRPr="00B74333">
              <w:rPr>
                <w:rFonts w:cstheme="minorHAnsi"/>
                <w:i/>
                <w:color w:val="808080" w:themeColor="background1" w:themeShade="80"/>
                <w:sz w:val="20"/>
                <w:szCs w:val="20"/>
              </w:rPr>
              <w:t xml:space="preserve">ntry </w:t>
            </w:r>
            <w:r w:rsidR="005B200E" w:rsidRPr="00B74333">
              <w:rPr>
                <w:rFonts w:cstheme="minorHAnsi"/>
                <w:i/>
                <w:color w:val="808080" w:themeColor="background1" w:themeShade="80"/>
                <w:sz w:val="20"/>
                <w:szCs w:val="20"/>
              </w:rPr>
              <w:t>or</w:t>
            </w:r>
            <w:r w:rsidR="00195489" w:rsidRPr="00B74333">
              <w:rPr>
                <w:rFonts w:cstheme="minorHAnsi"/>
                <w:i/>
                <w:color w:val="808080" w:themeColor="background1" w:themeShade="80"/>
                <w:sz w:val="20"/>
                <w:szCs w:val="20"/>
              </w:rPr>
              <w:t xml:space="preserve"> </w:t>
            </w:r>
            <w:r w:rsidR="00F91BBE" w:rsidRPr="00B74333">
              <w:rPr>
                <w:rFonts w:cstheme="minorHAnsi"/>
                <w:i/>
                <w:color w:val="808080" w:themeColor="background1" w:themeShade="80"/>
                <w:sz w:val="20"/>
                <w:szCs w:val="20"/>
              </w:rPr>
              <w:t>e</w:t>
            </w:r>
            <w:r w:rsidR="00195489" w:rsidRPr="00B74333">
              <w:rPr>
                <w:rFonts w:cstheme="minorHAnsi"/>
                <w:i/>
                <w:color w:val="808080" w:themeColor="background1" w:themeShade="80"/>
                <w:sz w:val="20"/>
                <w:szCs w:val="20"/>
              </w:rPr>
              <w:t xml:space="preserve">xit </w:t>
            </w:r>
            <w:r w:rsidR="00F91BBE" w:rsidRPr="00B74333">
              <w:rPr>
                <w:rFonts w:cstheme="minorHAnsi"/>
                <w:i/>
                <w:color w:val="808080" w:themeColor="background1" w:themeShade="80"/>
                <w:sz w:val="20"/>
                <w:szCs w:val="20"/>
              </w:rPr>
              <w:t>p</w:t>
            </w:r>
            <w:r w:rsidR="00195489" w:rsidRPr="00B74333">
              <w:rPr>
                <w:rFonts w:cstheme="minorHAnsi"/>
                <w:i/>
                <w:color w:val="808080" w:themeColor="background1" w:themeShade="80"/>
                <w:sz w:val="20"/>
                <w:szCs w:val="20"/>
              </w:rPr>
              <w:t xml:space="preserve">oint of DESFA System </w:t>
            </w:r>
            <w:r w:rsidR="000163D5" w:rsidRPr="00B74333">
              <w:rPr>
                <w:rFonts w:cstheme="minorHAnsi"/>
                <w:i/>
                <w:iCs/>
                <w:color w:val="808080" w:themeColor="background1" w:themeShade="80"/>
                <w:sz w:val="20"/>
                <w:szCs w:val="20"/>
              </w:rPr>
              <w:t>(and, i</w:t>
            </w:r>
            <w:r w:rsidR="0002505E" w:rsidRPr="00B74333">
              <w:rPr>
                <w:rFonts w:cstheme="minorHAnsi"/>
                <w:i/>
                <w:iCs/>
                <w:color w:val="808080" w:themeColor="background1" w:themeShade="80"/>
                <w:sz w:val="20"/>
                <w:szCs w:val="20"/>
              </w:rPr>
              <w:t>n case</w:t>
            </w:r>
            <w:r w:rsidR="00A55C17" w:rsidRPr="00B74333">
              <w:rPr>
                <w:rFonts w:cstheme="minorHAnsi"/>
                <w:i/>
                <w:iCs/>
                <w:color w:val="808080" w:themeColor="background1" w:themeShade="80"/>
                <w:sz w:val="20"/>
                <w:szCs w:val="20"/>
              </w:rPr>
              <w:t xml:space="preserve"> of</w:t>
            </w:r>
            <w:r w:rsidR="000163D5" w:rsidRPr="00B74333">
              <w:rPr>
                <w:rFonts w:cstheme="minorHAnsi"/>
                <w:i/>
                <w:iCs/>
                <w:color w:val="808080" w:themeColor="background1" w:themeShade="80"/>
                <w:sz w:val="20"/>
                <w:szCs w:val="20"/>
              </w:rPr>
              <w:t xml:space="preserve"> Linked</w:t>
            </w:r>
            <w:r w:rsidR="00754470" w:rsidRPr="00B74333">
              <w:rPr>
                <w:rFonts w:cstheme="minorHAnsi"/>
                <w:i/>
                <w:iCs/>
                <w:color w:val="808080" w:themeColor="background1" w:themeShade="80"/>
                <w:sz w:val="20"/>
                <w:szCs w:val="20"/>
              </w:rPr>
              <w:t xml:space="preserve"> Bid,</w:t>
            </w:r>
            <w:r w:rsidR="0002505E" w:rsidRPr="00B74333">
              <w:rPr>
                <w:rFonts w:cstheme="minorHAnsi"/>
                <w:i/>
                <w:iCs/>
                <w:color w:val="808080" w:themeColor="background1" w:themeShade="80"/>
                <w:sz w:val="20"/>
                <w:szCs w:val="20"/>
              </w:rPr>
              <w:t xml:space="preserve"> along with the </w:t>
            </w:r>
            <w:r w:rsidR="00BE7C11" w:rsidRPr="00B74333">
              <w:rPr>
                <w:rFonts w:cstheme="minorHAnsi"/>
                <w:i/>
                <w:iCs/>
                <w:color w:val="808080" w:themeColor="background1" w:themeShade="80"/>
                <w:sz w:val="20"/>
                <w:szCs w:val="20"/>
              </w:rPr>
              <w:t xml:space="preserve">entry point </w:t>
            </w:r>
            <w:r w:rsidR="0002505E" w:rsidRPr="00B74333">
              <w:rPr>
                <w:rFonts w:cstheme="minorHAnsi"/>
                <w:i/>
                <w:iCs/>
                <w:color w:val="808080" w:themeColor="background1" w:themeShade="80"/>
                <w:sz w:val="20"/>
                <w:szCs w:val="20"/>
              </w:rPr>
              <w:t>the linked</w:t>
            </w:r>
            <w:r w:rsidR="00754470" w:rsidRPr="00B74333">
              <w:rPr>
                <w:rFonts w:cstheme="minorHAnsi"/>
                <w:i/>
                <w:iCs/>
                <w:color w:val="808080" w:themeColor="background1" w:themeShade="80"/>
                <w:sz w:val="20"/>
                <w:szCs w:val="20"/>
              </w:rPr>
              <w:t xml:space="preserve"> </w:t>
            </w:r>
            <w:r w:rsidR="00F91BBE" w:rsidRPr="00B74333">
              <w:rPr>
                <w:rFonts w:cstheme="minorHAnsi"/>
                <w:i/>
                <w:iCs/>
                <w:color w:val="808080" w:themeColor="background1" w:themeShade="80"/>
                <w:sz w:val="20"/>
                <w:szCs w:val="20"/>
              </w:rPr>
              <w:t>e</w:t>
            </w:r>
            <w:r w:rsidR="0002505E" w:rsidRPr="00B74333">
              <w:rPr>
                <w:rFonts w:cstheme="minorHAnsi"/>
                <w:i/>
                <w:iCs/>
                <w:color w:val="808080" w:themeColor="background1" w:themeShade="80"/>
                <w:sz w:val="20"/>
                <w:szCs w:val="20"/>
              </w:rPr>
              <w:t xml:space="preserve">xit </w:t>
            </w:r>
            <w:r w:rsidR="00F91BBE" w:rsidRPr="00B74333">
              <w:rPr>
                <w:rFonts w:cstheme="minorHAnsi"/>
                <w:i/>
                <w:iCs/>
                <w:color w:val="808080" w:themeColor="background1" w:themeShade="80"/>
                <w:sz w:val="20"/>
                <w:szCs w:val="20"/>
              </w:rPr>
              <w:t>p</w:t>
            </w:r>
            <w:r w:rsidR="0002505E" w:rsidRPr="00B74333">
              <w:rPr>
                <w:rFonts w:cstheme="minorHAnsi"/>
                <w:i/>
                <w:iCs/>
                <w:color w:val="808080" w:themeColor="background1" w:themeShade="80"/>
                <w:sz w:val="20"/>
                <w:szCs w:val="20"/>
              </w:rPr>
              <w:t>oint</w:t>
            </w:r>
            <w:r w:rsidR="000163D5" w:rsidRPr="00B74333">
              <w:rPr>
                <w:rFonts w:cstheme="minorHAnsi"/>
                <w:i/>
                <w:iCs/>
                <w:color w:val="808080" w:themeColor="background1" w:themeShade="80"/>
                <w:sz w:val="20"/>
                <w:szCs w:val="20"/>
              </w:rPr>
              <w:t xml:space="preserve">) </w:t>
            </w:r>
            <w:r w:rsidR="00195489" w:rsidRPr="00B74333">
              <w:rPr>
                <w:rFonts w:cstheme="minorHAnsi"/>
                <w:i/>
                <w:color w:val="808080" w:themeColor="background1" w:themeShade="80"/>
                <w:sz w:val="20"/>
                <w:szCs w:val="20"/>
              </w:rPr>
              <w:t xml:space="preserve">and </w:t>
            </w:r>
            <w:r w:rsidR="00A26928" w:rsidRPr="00B74333">
              <w:rPr>
                <w:rFonts w:cstheme="minorHAnsi"/>
                <w:i/>
                <w:iCs/>
                <w:color w:val="808080" w:themeColor="background1" w:themeShade="80"/>
                <w:sz w:val="20"/>
                <w:szCs w:val="20"/>
              </w:rPr>
              <w:t xml:space="preserve">direction </w:t>
            </w:r>
            <w:r w:rsidRPr="00B74333">
              <w:rPr>
                <w:rFonts w:cstheme="minorHAnsi"/>
                <w:i/>
                <w:color w:val="808080" w:themeColor="background1" w:themeShade="80"/>
                <w:sz w:val="20"/>
                <w:szCs w:val="20"/>
              </w:rPr>
              <w:t>of capacity, entry or exit, by deleting as appropriate, according to the available offered capacity as described in Article 3.1 and Section 2. Offer Levels of the Guidelines and the Project Proposals]</w:t>
            </w: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6BF81A" w14:textId="77777777" w:rsidR="00DD11BF" w:rsidRPr="00B74333" w:rsidRDefault="00DD11BF" w:rsidP="009D41C8">
            <w:pPr>
              <w:spacing w:after="0"/>
              <w:jc w:val="both"/>
              <w:rPr>
                <w:rFonts w:cstheme="minorHAnsi"/>
                <w:b/>
                <w:iCs/>
                <w:color w:val="0070C0"/>
                <w:sz w:val="20"/>
                <w:szCs w:val="20"/>
              </w:rPr>
            </w:pPr>
          </w:p>
          <w:p w14:paraId="3014F1D2" w14:textId="77777777" w:rsidR="00DD11BF" w:rsidRPr="00B74333" w:rsidRDefault="00DD11BF" w:rsidP="009D41C8">
            <w:pPr>
              <w:spacing w:after="0"/>
              <w:jc w:val="both"/>
              <w:rPr>
                <w:rFonts w:cstheme="minorHAnsi"/>
                <w:b/>
                <w:iCs/>
                <w:color w:val="0070C0"/>
                <w:sz w:val="20"/>
                <w:szCs w:val="20"/>
              </w:rPr>
            </w:pPr>
          </w:p>
          <w:p w14:paraId="7FC85D7F" w14:textId="77777777" w:rsidR="005C7080" w:rsidRPr="00B74333" w:rsidRDefault="005C7080" w:rsidP="009D41C8">
            <w:pPr>
              <w:spacing w:after="0"/>
              <w:jc w:val="both"/>
              <w:rPr>
                <w:rFonts w:cstheme="minorHAnsi"/>
                <w:b/>
                <w:iCs/>
                <w:color w:val="0070C0"/>
                <w:sz w:val="20"/>
                <w:szCs w:val="20"/>
              </w:rPr>
            </w:pPr>
          </w:p>
          <w:p w14:paraId="4119F209" w14:textId="4B522768" w:rsidR="00DD11BF" w:rsidRPr="00B74333" w:rsidRDefault="00DD11BF" w:rsidP="004D1389">
            <w:pPr>
              <w:jc w:val="both"/>
              <w:rPr>
                <w:rFonts w:cstheme="minorHAnsi"/>
                <w:i/>
                <w:iCs/>
                <w:sz w:val="20"/>
                <w:szCs w:val="20"/>
              </w:rPr>
            </w:pPr>
            <w:r w:rsidRPr="00B74333">
              <w:rPr>
                <w:rFonts w:cstheme="minorHAnsi"/>
                <w:i/>
                <w:color w:val="808080" w:themeColor="background1" w:themeShade="80"/>
                <w:sz w:val="20"/>
                <w:szCs w:val="20"/>
              </w:rPr>
              <w:t>[Requested capacity must be equal to or less than the respective maximum offered capacity as described in Article 3.1 and Section 2. Offer Levels of the Guidelines and the Project Proposals]</w:t>
            </w:r>
          </w:p>
        </w:tc>
        <w:tc>
          <w:tcPr>
            <w:tcW w:w="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70F06" w14:textId="77777777" w:rsidR="00DD11BF" w:rsidRPr="00B74333" w:rsidRDefault="00DD11BF" w:rsidP="009D41C8">
            <w:pPr>
              <w:jc w:val="both"/>
              <w:rPr>
                <w:rFonts w:cstheme="minorHAnsi"/>
                <w:sz w:val="20"/>
                <w:szCs w:val="20"/>
              </w:rPr>
            </w:pPr>
          </w:p>
          <w:p w14:paraId="04B2B680" w14:textId="77777777" w:rsidR="00DD11BF" w:rsidRPr="00B74333" w:rsidRDefault="00DD11BF" w:rsidP="009D41C8">
            <w:pPr>
              <w:jc w:val="both"/>
              <w:rPr>
                <w:rFonts w:cstheme="minorHAnsi"/>
                <w:sz w:val="20"/>
                <w:szCs w:val="20"/>
              </w:rPr>
            </w:pPr>
          </w:p>
          <w:p w14:paraId="26C92E85" w14:textId="10C5B15C" w:rsidR="00A14D17" w:rsidRPr="00B74333" w:rsidRDefault="00DD11BF" w:rsidP="009D41C8">
            <w:pPr>
              <w:jc w:val="both"/>
              <w:rPr>
                <w:rFonts w:cstheme="minorHAnsi"/>
                <w:i/>
                <w:color w:val="808080" w:themeColor="background1" w:themeShade="80"/>
                <w:sz w:val="20"/>
                <w:szCs w:val="20"/>
              </w:rPr>
            </w:pPr>
            <w:r w:rsidRPr="00B74333">
              <w:rPr>
                <w:rFonts w:cstheme="minorHAnsi"/>
                <w:i/>
                <w:color w:val="808080" w:themeColor="background1" w:themeShade="80"/>
                <w:sz w:val="20"/>
                <w:szCs w:val="20"/>
              </w:rPr>
              <w:t xml:space="preserve">[Insert </w:t>
            </w:r>
            <w:r w:rsidR="00D46EC7" w:rsidRPr="00B74333">
              <w:rPr>
                <w:rFonts w:cstheme="minorHAnsi"/>
                <w:i/>
                <w:color w:val="808080" w:themeColor="background1" w:themeShade="80"/>
                <w:sz w:val="20"/>
                <w:szCs w:val="20"/>
              </w:rPr>
              <w:t xml:space="preserve">the </w:t>
            </w:r>
            <w:r w:rsidR="00BA28DD" w:rsidRPr="00B74333">
              <w:rPr>
                <w:rFonts w:cstheme="minorHAnsi"/>
                <w:i/>
                <w:color w:val="808080" w:themeColor="background1" w:themeShade="80"/>
                <w:sz w:val="20"/>
                <w:szCs w:val="20"/>
              </w:rPr>
              <w:t xml:space="preserve">first </w:t>
            </w:r>
            <w:r w:rsidRPr="00B74333">
              <w:rPr>
                <w:rFonts w:cstheme="minorHAnsi"/>
                <w:i/>
                <w:color w:val="808080" w:themeColor="background1" w:themeShade="80"/>
                <w:sz w:val="20"/>
                <w:szCs w:val="20"/>
              </w:rPr>
              <w:t>Gas Year of capacity request.</w:t>
            </w:r>
          </w:p>
          <w:p w14:paraId="5BB82528" w14:textId="126AFA6B" w:rsidR="00DD11BF" w:rsidRPr="00B74333" w:rsidRDefault="00DD11BF" w:rsidP="009D41C8">
            <w:pPr>
              <w:jc w:val="both"/>
              <w:rPr>
                <w:rFonts w:cstheme="minorHAnsi"/>
                <w:i/>
                <w:iCs/>
                <w:sz w:val="20"/>
                <w:szCs w:val="20"/>
              </w:rPr>
            </w:pPr>
            <w:r w:rsidRPr="00B74333">
              <w:rPr>
                <w:rFonts w:cstheme="minorHAnsi"/>
                <w:i/>
                <w:color w:val="808080" w:themeColor="background1" w:themeShade="80"/>
                <w:sz w:val="20"/>
                <w:szCs w:val="20"/>
              </w:rPr>
              <w:t xml:space="preserve">That </w:t>
            </w:r>
            <w:r w:rsidR="00BA28DD" w:rsidRPr="00B74333">
              <w:rPr>
                <w:rFonts w:cstheme="minorHAnsi"/>
                <w:i/>
                <w:color w:val="808080" w:themeColor="background1" w:themeShade="80"/>
                <w:sz w:val="20"/>
                <w:szCs w:val="20"/>
              </w:rPr>
              <w:t xml:space="preserve">Gas Year </w:t>
            </w:r>
            <w:r w:rsidRPr="00B74333">
              <w:rPr>
                <w:rFonts w:cstheme="minorHAnsi"/>
                <w:i/>
                <w:color w:val="808080" w:themeColor="background1" w:themeShade="80"/>
                <w:sz w:val="20"/>
                <w:szCs w:val="20"/>
              </w:rPr>
              <w:t xml:space="preserve">cannot be </w:t>
            </w:r>
            <w:r w:rsidR="002E7E63" w:rsidRPr="00B74333">
              <w:rPr>
                <w:rFonts w:cstheme="minorHAnsi"/>
                <w:i/>
                <w:color w:val="808080" w:themeColor="background1" w:themeShade="80"/>
                <w:sz w:val="20"/>
                <w:szCs w:val="20"/>
              </w:rPr>
              <w:t xml:space="preserve">earlier than </w:t>
            </w:r>
            <w:r w:rsidRPr="00B74333">
              <w:rPr>
                <w:rFonts w:cstheme="minorHAnsi"/>
                <w:i/>
                <w:color w:val="808080" w:themeColor="background1" w:themeShade="80"/>
                <w:sz w:val="20"/>
                <w:szCs w:val="20"/>
              </w:rPr>
              <w:t>the respective</w:t>
            </w:r>
            <w:r w:rsidR="008557EB" w:rsidRPr="00B74333">
              <w:rPr>
                <w:rFonts w:cstheme="minorHAnsi"/>
                <w:i/>
                <w:color w:val="808080" w:themeColor="background1" w:themeShade="80"/>
                <w:sz w:val="20"/>
                <w:szCs w:val="20"/>
              </w:rPr>
              <w:t xml:space="preserve"> </w:t>
            </w:r>
            <w:r w:rsidR="002E7E63" w:rsidRPr="00B74333">
              <w:rPr>
                <w:rFonts w:cstheme="minorHAnsi"/>
                <w:i/>
                <w:color w:val="808080" w:themeColor="background1" w:themeShade="80"/>
                <w:sz w:val="20"/>
                <w:szCs w:val="20"/>
              </w:rPr>
              <w:t xml:space="preserve">Gas Year including the </w:t>
            </w:r>
            <w:r w:rsidR="008557EB" w:rsidRPr="00B74333">
              <w:rPr>
                <w:rFonts w:cstheme="minorHAnsi"/>
                <w:i/>
                <w:color w:val="808080" w:themeColor="background1" w:themeShade="80"/>
                <w:sz w:val="20"/>
                <w:szCs w:val="20"/>
              </w:rPr>
              <w:t>earliest</w:t>
            </w:r>
            <w:r w:rsidR="00B37775" w:rsidRPr="00B74333">
              <w:rPr>
                <w:rFonts w:cstheme="minorHAnsi"/>
                <w:i/>
                <w:color w:val="808080" w:themeColor="background1" w:themeShade="80"/>
                <w:sz w:val="20"/>
                <w:szCs w:val="20"/>
              </w:rPr>
              <w:t xml:space="preserve"> possible</w:t>
            </w:r>
            <w:r w:rsidRPr="00B74333">
              <w:rPr>
                <w:rFonts w:cstheme="minorHAnsi"/>
                <w:i/>
                <w:color w:val="808080" w:themeColor="background1" w:themeShade="80"/>
                <w:sz w:val="20"/>
                <w:szCs w:val="20"/>
              </w:rPr>
              <w:t xml:space="preserve"> </w:t>
            </w:r>
            <w:r w:rsidR="00521D04" w:rsidRPr="00B74333">
              <w:rPr>
                <w:rFonts w:cstheme="minorHAnsi"/>
                <w:i/>
                <w:color w:val="808080" w:themeColor="background1" w:themeShade="80"/>
                <w:sz w:val="20"/>
                <w:szCs w:val="20"/>
              </w:rPr>
              <w:t xml:space="preserve">starting </w:t>
            </w:r>
            <w:r w:rsidR="006A23F0" w:rsidRPr="00B74333">
              <w:rPr>
                <w:rFonts w:cstheme="minorHAnsi"/>
                <w:i/>
                <w:color w:val="808080" w:themeColor="background1" w:themeShade="80"/>
                <w:sz w:val="20"/>
                <w:szCs w:val="20"/>
              </w:rPr>
              <w:t xml:space="preserve">date </w:t>
            </w:r>
            <w:r w:rsidRPr="00B74333">
              <w:rPr>
                <w:rFonts w:cstheme="minorHAnsi"/>
                <w:i/>
                <w:color w:val="808080" w:themeColor="background1" w:themeShade="80"/>
                <w:sz w:val="20"/>
                <w:szCs w:val="20"/>
              </w:rPr>
              <w:t>specified for</w:t>
            </w:r>
            <w:r w:rsidR="00C73CE6" w:rsidRPr="00B74333">
              <w:rPr>
                <w:rFonts w:cstheme="minorHAnsi"/>
                <w:i/>
                <w:color w:val="808080" w:themeColor="background1" w:themeShade="80"/>
                <w:sz w:val="20"/>
                <w:szCs w:val="20"/>
              </w:rPr>
              <w:t xml:space="preserve"> </w:t>
            </w:r>
            <w:r w:rsidRPr="00B74333">
              <w:rPr>
                <w:rFonts w:cstheme="minorHAnsi"/>
                <w:i/>
                <w:color w:val="808080" w:themeColor="background1" w:themeShade="80"/>
                <w:sz w:val="20"/>
                <w:szCs w:val="20"/>
              </w:rPr>
              <w:t xml:space="preserve">each point, as described in </w:t>
            </w:r>
            <w:r w:rsidR="009948D2" w:rsidRPr="00B74333">
              <w:rPr>
                <w:rFonts w:cstheme="minorHAnsi"/>
                <w:i/>
                <w:color w:val="808080" w:themeColor="background1" w:themeShade="80"/>
                <w:sz w:val="20"/>
                <w:szCs w:val="20"/>
              </w:rPr>
              <w:t>“</w:t>
            </w:r>
            <w:r w:rsidRPr="00B74333">
              <w:rPr>
                <w:rFonts w:cstheme="minorHAnsi"/>
                <w:i/>
                <w:color w:val="808080" w:themeColor="background1" w:themeShade="80"/>
                <w:sz w:val="20"/>
                <w:szCs w:val="20"/>
              </w:rPr>
              <w:t>Section 2. Offer Levels</w:t>
            </w:r>
            <w:r w:rsidR="009948D2" w:rsidRPr="00B74333">
              <w:rPr>
                <w:rFonts w:cstheme="minorHAnsi"/>
                <w:i/>
                <w:color w:val="808080" w:themeColor="background1" w:themeShade="80"/>
                <w:sz w:val="20"/>
                <w:szCs w:val="20"/>
              </w:rPr>
              <w:t>”</w:t>
            </w:r>
            <w:r w:rsidRPr="00B74333">
              <w:rPr>
                <w:rFonts w:cstheme="minorHAnsi"/>
                <w:i/>
                <w:color w:val="808080" w:themeColor="background1" w:themeShade="80"/>
                <w:sz w:val="20"/>
                <w:szCs w:val="20"/>
              </w:rPr>
              <w:t xml:space="preserve"> of the Guidelines and the Project Proposals</w:t>
            </w:r>
            <w:r w:rsidR="003E5F2C" w:rsidRPr="00B74333">
              <w:rPr>
                <w:rFonts w:cstheme="minorHAnsi"/>
                <w:i/>
                <w:color w:val="808080" w:themeColor="background1" w:themeShade="80"/>
                <w:sz w:val="20"/>
                <w:szCs w:val="20"/>
              </w:rPr>
              <w:t xml:space="preserve"> </w:t>
            </w:r>
            <w:r w:rsidRPr="00B74333">
              <w:rPr>
                <w:rFonts w:cstheme="minorHAnsi"/>
                <w:i/>
                <w:color w:val="808080" w:themeColor="background1" w:themeShade="80"/>
                <w:vertAlign w:val="superscript"/>
              </w:rPr>
              <w:t>[3]</w:t>
            </w:r>
            <w:r w:rsidR="004B5AC7" w:rsidRPr="00B74333">
              <w:rPr>
                <w:rFonts w:cstheme="minorHAnsi"/>
                <w:i/>
                <w:color w:val="808080" w:themeColor="background1" w:themeShade="80"/>
              </w:rPr>
              <w:t>]</w:t>
            </w: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76506A" w14:textId="77777777" w:rsidR="00DD11BF" w:rsidRPr="00B74333" w:rsidRDefault="00DD11BF" w:rsidP="009D41C8">
            <w:pPr>
              <w:jc w:val="both"/>
              <w:rPr>
                <w:rFonts w:cstheme="minorHAnsi"/>
                <w:sz w:val="20"/>
                <w:szCs w:val="20"/>
              </w:rPr>
            </w:pPr>
          </w:p>
          <w:p w14:paraId="0D33286D" w14:textId="77777777" w:rsidR="00DD11BF" w:rsidRPr="00B74333" w:rsidRDefault="00DD11BF" w:rsidP="009D41C8">
            <w:pPr>
              <w:jc w:val="both"/>
              <w:rPr>
                <w:rFonts w:cstheme="minorHAnsi"/>
                <w:sz w:val="20"/>
                <w:szCs w:val="20"/>
              </w:rPr>
            </w:pPr>
          </w:p>
          <w:p w14:paraId="0D983AFB" w14:textId="30530EE0" w:rsidR="001D24A7" w:rsidRPr="00B74333" w:rsidRDefault="00DD11BF" w:rsidP="009D41C8">
            <w:pPr>
              <w:jc w:val="both"/>
              <w:rPr>
                <w:rFonts w:cstheme="minorHAnsi"/>
                <w:i/>
                <w:color w:val="808080" w:themeColor="background1" w:themeShade="80"/>
                <w:sz w:val="20"/>
                <w:szCs w:val="20"/>
              </w:rPr>
            </w:pPr>
            <w:r w:rsidRPr="00B74333">
              <w:rPr>
                <w:rFonts w:cstheme="minorHAnsi"/>
                <w:i/>
                <w:color w:val="808080" w:themeColor="background1" w:themeShade="80"/>
                <w:sz w:val="20"/>
                <w:szCs w:val="20"/>
              </w:rPr>
              <w:t xml:space="preserve">[Insert </w:t>
            </w:r>
            <w:r w:rsidR="00364FFC" w:rsidRPr="00B74333">
              <w:rPr>
                <w:rFonts w:cstheme="minorHAnsi"/>
                <w:i/>
                <w:color w:val="808080" w:themeColor="background1" w:themeShade="80"/>
                <w:sz w:val="20"/>
                <w:szCs w:val="20"/>
              </w:rPr>
              <w:t>the last</w:t>
            </w:r>
            <w:r w:rsidR="00711805" w:rsidRPr="00B74333">
              <w:rPr>
                <w:rFonts w:cstheme="minorHAnsi"/>
                <w:i/>
                <w:color w:val="808080" w:themeColor="background1" w:themeShade="80"/>
                <w:sz w:val="20"/>
                <w:szCs w:val="20"/>
              </w:rPr>
              <w:t xml:space="preserve"> Gas Year</w:t>
            </w:r>
            <w:r w:rsidR="00364FFC" w:rsidRPr="00B74333">
              <w:rPr>
                <w:rFonts w:cstheme="minorHAnsi"/>
                <w:i/>
                <w:color w:val="808080" w:themeColor="background1" w:themeShade="80"/>
                <w:sz w:val="20"/>
                <w:szCs w:val="20"/>
              </w:rPr>
              <w:t xml:space="preserve"> </w:t>
            </w:r>
            <w:r w:rsidRPr="00B74333">
              <w:rPr>
                <w:rFonts w:cstheme="minorHAnsi"/>
                <w:i/>
                <w:color w:val="808080" w:themeColor="background1" w:themeShade="80"/>
                <w:sz w:val="20"/>
                <w:szCs w:val="20"/>
              </w:rPr>
              <w:t>of capacity request.</w:t>
            </w:r>
          </w:p>
          <w:p w14:paraId="449C6498" w14:textId="5E5C7292" w:rsidR="00DD11BF" w:rsidRPr="00B74333" w:rsidRDefault="00E01B7E" w:rsidP="009D41C8">
            <w:pPr>
              <w:jc w:val="both"/>
              <w:rPr>
                <w:rFonts w:cstheme="minorHAnsi"/>
                <w:i/>
                <w:color w:val="808080" w:themeColor="background1" w:themeShade="80"/>
                <w:sz w:val="20"/>
                <w:szCs w:val="20"/>
              </w:rPr>
            </w:pPr>
            <w:r w:rsidRPr="00B74333">
              <w:rPr>
                <w:rFonts w:cstheme="minorHAnsi"/>
                <w:i/>
                <w:color w:val="808080" w:themeColor="background1" w:themeShade="80"/>
                <w:sz w:val="20"/>
                <w:szCs w:val="20"/>
              </w:rPr>
              <w:t xml:space="preserve">That </w:t>
            </w:r>
            <w:r w:rsidR="000B4635" w:rsidRPr="00B74333">
              <w:rPr>
                <w:rFonts w:cstheme="minorHAnsi"/>
                <w:i/>
                <w:color w:val="808080" w:themeColor="background1" w:themeShade="80"/>
                <w:sz w:val="20"/>
                <w:szCs w:val="20"/>
              </w:rPr>
              <w:t xml:space="preserve">Gas Year </w:t>
            </w:r>
            <w:r w:rsidR="002F5965" w:rsidRPr="00B74333">
              <w:rPr>
                <w:rFonts w:cstheme="minorHAnsi"/>
                <w:i/>
                <w:color w:val="808080" w:themeColor="background1" w:themeShade="80"/>
                <w:sz w:val="20"/>
                <w:szCs w:val="20"/>
              </w:rPr>
              <w:t xml:space="preserve">cannot </w:t>
            </w:r>
            <w:r w:rsidR="00DD11BF" w:rsidRPr="00B74333">
              <w:rPr>
                <w:rFonts w:cstheme="minorHAnsi"/>
                <w:i/>
                <w:color w:val="808080" w:themeColor="background1" w:themeShade="80"/>
                <w:sz w:val="20"/>
                <w:szCs w:val="20"/>
              </w:rPr>
              <w:t xml:space="preserve">lay beyond the Gas Year 2048 </w:t>
            </w:r>
            <w:r w:rsidR="00954898" w:rsidRPr="00B74333">
              <w:rPr>
                <w:rFonts w:cstheme="minorHAnsi"/>
                <w:i/>
                <w:color w:val="808080" w:themeColor="background1" w:themeShade="80"/>
                <w:sz w:val="20"/>
                <w:szCs w:val="20"/>
              </w:rPr>
              <w:t>/</w:t>
            </w:r>
            <w:r w:rsidR="00DD11BF" w:rsidRPr="00B74333">
              <w:rPr>
                <w:rFonts w:cstheme="minorHAnsi"/>
                <w:i/>
                <w:color w:val="808080" w:themeColor="background1" w:themeShade="80"/>
                <w:sz w:val="20"/>
                <w:szCs w:val="20"/>
              </w:rPr>
              <w:t>49</w:t>
            </w:r>
            <w:r w:rsidR="00A71444" w:rsidRPr="00B74333">
              <w:rPr>
                <w:rFonts w:cstheme="minorHAnsi"/>
                <w:i/>
                <w:color w:val="808080" w:themeColor="background1" w:themeShade="80"/>
                <w:sz w:val="20"/>
                <w:szCs w:val="20"/>
              </w:rPr>
              <w:t xml:space="preserve"> </w:t>
            </w:r>
            <w:r w:rsidR="00A71444" w:rsidRPr="00B74333">
              <w:rPr>
                <w:rFonts w:cstheme="minorHAnsi"/>
                <w:i/>
                <w:color w:val="808080" w:themeColor="background1" w:themeShade="80"/>
                <w:sz w:val="20"/>
                <w:szCs w:val="20"/>
                <w:vertAlign w:val="superscript"/>
              </w:rPr>
              <w:t>[4]</w:t>
            </w:r>
            <w:r w:rsidR="00C27AEA" w:rsidRPr="00B74333">
              <w:rPr>
                <w:rFonts w:cstheme="minorHAnsi"/>
                <w:i/>
                <w:color w:val="808080" w:themeColor="background1" w:themeShade="80"/>
                <w:sz w:val="20"/>
                <w:szCs w:val="20"/>
              </w:rPr>
              <w:t>.</w:t>
            </w:r>
          </w:p>
          <w:p w14:paraId="4FF7C707" w14:textId="1B79ABF9" w:rsidR="00C27AEA" w:rsidRPr="00B74333" w:rsidRDefault="005E0CCE" w:rsidP="009D41C8">
            <w:pPr>
              <w:jc w:val="both"/>
              <w:rPr>
                <w:rFonts w:cstheme="minorHAnsi"/>
                <w:i/>
                <w:iCs/>
                <w:sz w:val="20"/>
                <w:szCs w:val="20"/>
              </w:rPr>
            </w:pPr>
            <w:r w:rsidRPr="00B74333">
              <w:rPr>
                <w:rFonts w:cstheme="minorHAnsi"/>
                <w:i/>
                <w:color w:val="808080" w:themeColor="background1" w:themeShade="80"/>
                <w:sz w:val="20"/>
                <w:szCs w:val="20"/>
              </w:rPr>
              <w:t xml:space="preserve">The </w:t>
            </w:r>
            <w:r w:rsidR="00E55666" w:rsidRPr="00B74333">
              <w:rPr>
                <w:rFonts w:cstheme="minorHAnsi"/>
                <w:i/>
                <w:color w:val="808080" w:themeColor="background1" w:themeShade="80"/>
                <w:sz w:val="20"/>
                <w:szCs w:val="20"/>
              </w:rPr>
              <w:t xml:space="preserve">duration between Start Gas Year and End Gas Year </w:t>
            </w:r>
            <w:r w:rsidRPr="00B74333">
              <w:rPr>
                <w:rFonts w:cstheme="minorHAnsi"/>
                <w:i/>
                <w:color w:val="808080" w:themeColor="background1" w:themeShade="80"/>
                <w:sz w:val="20"/>
                <w:szCs w:val="20"/>
              </w:rPr>
              <w:t xml:space="preserve">cannot </w:t>
            </w:r>
            <w:r w:rsidR="00C27AEA" w:rsidRPr="00B74333">
              <w:rPr>
                <w:rFonts w:cstheme="minorHAnsi"/>
                <w:i/>
                <w:color w:val="808080" w:themeColor="background1" w:themeShade="80"/>
                <w:sz w:val="20"/>
                <w:szCs w:val="20"/>
              </w:rPr>
              <w:t xml:space="preserve">be shorter than </w:t>
            </w:r>
            <w:r w:rsidR="00501340" w:rsidRPr="00B74333">
              <w:rPr>
                <w:rFonts w:cstheme="minorHAnsi"/>
                <w:i/>
                <w:color w:val="808080" w:themeColor="background1" w:themeShade="80"/>
                <w:sz w:val="20"/>
                <w:szCs w:val="20"/>
              </w:rPr>
              <w:t>three (</w:t>
            </w:r>
            <w:r w:rsidR="00C27AEA" w:rsidRPr="00B74333">
              <w:rPr>
                <w:rFonts w:cstheme="minorHAnsi"/>
                <w:i/>
                <w:color w:val="808080" w:themeColor="background1" w:themeShade="80"/>
                <w:sz w:val="20"/>
                <w:szCs w:val="20"/>
              </w:rPr>
              <w:t>3</w:t>
            </w:r>
            <w:r w:rsidR="00501340" w:rsidRPr="00B74333">
              <w:rPr>
                <w:rFonts w:cstheme="minorHAnsi"/>
                <w:i/>
                <w:color w:val="808080" w:themeColor="background1" w:themeShade="80"/>
                <w:sz w:val="20"/>
                <w:szCs w:val="20"/>
              </w:rPr>
              <w:t>)</w:t>
            </w:r>
            <w:r w:rsidR="00C27AEA" w:rsidRPr="00B74333">
              <w:rPr>
                <w:rFonts w:cstheme="minorHAnsi"/>
                <w:i/>
                <w:color w:val="808080" w:themeColor="background1" w:themeShade="80"/>
                <w:sz w:val="20"/>
                <w:szCs w:val="20"/>
              </w:rPr>
              <w:t xml:space="preserve"> </w:t>
            </w:r>
            <w:r w:rsidR="00717865" w:rsidRPr="00B74333">
              <w:rPr>
                <w:rFonts w:cstheme="minorHAnsi"/>
                <w:i/>
                <w:color w:val="808080" w:themeColor="background1" w:themeShade="80"/>
                <w:sz w:val="20"/>
                <w:szCs w:val="20"/>
              </w:rPr>
              <w:t>Gas Y</w:t>
            </w:r>
            <w:r w:rsidR="00C27AEA" w:rsidRPr="00B74333">
              <w:rPr>
                <w:rFonts w:cstheme="minorHAnsi"/>
                <w:i/>
                <w:color w:val="808080" w:themeColor="background1" w:themeShade="80"/>
                <w:sz w:val="20"/>
                <w:szCs w:val="20"/>
              </w:rPr>
              <w:t>ears</w:t>
            </w:r>
            <w:r w:rsidR="0034096B" w:rsidRPr="00B74333">
              <w:rPr>
                <w:rFonts w:cstheme="minorHAnsi"/>
                <w:i/>
                <w:color w:val="808080" w:themeColor="background1" w:themeShade="80"/>
                <w:sz w:val="20"/>
                <w:szCs w:val="20"/>
              </w:rPr>
              <w:t>]</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B2D2F" w14:textId="6228F450" w:rsidR="00DD11BF" w:rsidRPr="00B74333" w:rsidRDefault="00DD11BF" w:rsidP="009D41C8">
            <w:pPr>
              <w:spacing w:after="0"/>
              <w:jc w:val="both"/>
              <w:rPr>
                <w:rFonts w:cstheme="minorHAnsi"/>
                <w:b/>
                <w:iCs/>
                <w:color w:val="0070C0"/>
                <w:sz w:val="20"/>
                <w:szCs w:val="20"/>
              </w:rPr>
            </w:pPr>
            <w:r w:rsidRPr="00B74333">
              <w:rPr>
                <w:rFonts w:cstheme="minorHAnsi"/>
                <w:b/>
                <w:iCs/>
                <w:color w:val="0070C0"/>
                <w:sz w:val="20"/>
                <w:szCs w:val="20"/>
              </w:rPr>
              <w:t>Yes/No</w:t>
            </w:r>
          </w:p>
          <w:p w14:paraId="43C09C9F" w14:textId="77777777" w:rsidR="00DD11BF" w:rsidRPr="00B74333" w:rsidRDefault="00DD11BF" w:rsidP="009D41C8">
            <w:pPr>
              <w:spacing w:after="0"/>
              <w:jc w:val="both"/>
              <w:rPr>
                <w:rFonts w:cstheme="minorHAnsi"/>
                <w:sz w:val="20"/>
                <w:szCs w:val="20"/>
              </w:rPr>
            </w:pPr>
          </w:p>
          <w:p w14:paraId="50A99237" w14:textId="77777777" w:rsidR="00DD11BF" w:rsidRPr="00B74333" w:rsidRDefault="00DD11BF" w:rsidP="009D41C8">
            <w:pPr>
              <w:spacing w:after="0"/>
              <w:jc w:val="both"/>
              <w:rPr>
                <w:rFonts w:cstheme="minorHAnsi"/>
                <w:sz w:val="20"/>
                <w:szCs w:val="20"/>
              </w:rPr>
            </w:pPr>
          </w:p>
          <w:p w14:paraId="2F215584" w14:textId="15AA9783" w:rsidR="00DD11BF" w:rsidRPr="00B74333" w:rsidRDefault="00DD11BF" w:rsidP="009D41C8">
            <w:pPr>
              <w:spacing w:after="0"/>
              <w:jc w:val="both"/>
              <w:rPr>
                <w:rFonts w:cstheme="minorHAnsi"/>
                <w:i/>
                <w:iCs/>
                <w:color w:val="808080" w:themeColor="background1" w:themeShade="80"/>
                <w:sz w:val="20"/>
                <w:szCs w:val="20"/>
              </w:rPr>
            </w:pPr>
            <w:r w:rsidRPr="00B74333">
              <w:rPr>
                <w:rFonts w:cstheme="minorHAnsi"/>
                <w:i/>
                <w:iCs/>
                <w:color w:val="808080" w:themeColor="background1" w:themeShade="80"/>
                <w:sz w:val="20"/>
                <w:szCs w:val="20"/>
              </w:rPr>
              <w:t>[</w:t>
            </w:r>
            <w:r w:rsidR="009B187E" w:rsidRPr="00B74333">
              <w:rPr>
                <w:rFonts w:cstheme="minorHAnsi"/>
                <w:i/>
                <w:iCs/>
                <w:color w:val="808080" w:themeColor="background1" w:themeShade="80"/>
                <w:sz w:val="20"/>
                <w:szCs w:val="20"/>
              </w:rPr>
              <w:t xml:space="preserve">Indicate whether </w:t>
            </w:r>
            <w:r w:rsidR="004F21B6" w:rsidRPr="00B74333">
              <w:rPr>
                <w:rFonts w:cstheme="minorHAnsi"/>
                <w:i/>
                <w:iCs/>
                <w:color w:val="808080" w:themeColor="background1" w:themeShade="80"/>
                <w:sz w:val="20"/>
                <w:szCs w:val="20"/>
              </w:rPr>
              <w:t xml:space="preserve">Capacity reduction </w:t>
            </w:r>
            <w:r w:rsidR="00A700B6" w:rsidRPr="00B74333">
              <w:rPr>
                <w:rFonts w:cstheme="minorHAnsi"/>
                <w:i/>
                <w:iCs/>
                <w:color w:val="808080" w:themeColor="background1" w:themeShade="80"/>
                <w:sz w:val="20"/>
                <w:szCs w:val="20"/>
              </w:rPr>
              <w:t xml:space="preserve">is </w:t>
            </w:r>
            <w:r w:rsidR="004F21B6" w:rsidRPr="00B74333">
              <w:rPr>
                <w:rFonts w:cstheme="minorHAnsi"/>
                <w:i/>
                <w:iCs/>
                <w:color w:val="808080" w:themeColor="background1" w:themeShade="80"/>
                <w:sz w:val="20"/>
                <w:szCs w:val="20"/>
              </w:rPr>
              <w:t>acceptable</w:t>
            </w:r>
            <w:r w:rsidR="000622A5" w:rsidRPr="00B74333">
              <w:rPr>
                <w:rFonts w:cstheme="minorHAnsi"/>
                <w:i/>
                <w:iCs/>
                <w:color w:val="808080" w:themeColor="background1" w:themeShade="80"/>
                <w:sz w:val="20"/>
                <w:szCs w:val="20"/>
              </w:rPr>
              <w:t xml:space="preserve"> or not</w:t>
            </w:r>
            <w:r w:rsidR="004F21B6" w:rsidRPr="00B74333">
              <w:rPr>
                <w:rFonts w:cstheme="minorHAnsi"/>
                <w:i/>
                <w:iCs/>
                <w:color w:val="808080" w:themeColor="background1" w:themeShade="80"/>
                <w:sz w:val="20"/>
                <w:szCs w:val="20"/>
              </w:rPr>
              <w:t xml:space="preserve">, according to Section 5.2 </w:t>
            </w:r>
            <w:r w:rsidR="00F56943" w:rsidRPr="00B74333">
              <w:rPr>
                <w:rFonts w:cstheme="minorHAnsi"/>
                <w:i/>
                <w:iCs/>
                <w:color w:val="808080" w:themeColor="background1" w:themeShade="80"/>
                <w:sz w:val="20"/>
                <w:szCs w:val="20"/>
              </w:rPr>
              <w:t>of the Guidelines</w:t>
            </w:r>
            <w:r w:rsidR="000622A5" w:rsidRPr="00B74333">
              <w:rPr>
                <w:rFonts w:cstheme="minorHAnsi"/>
                <w:i/>
                <w:iCs/>
                <w:color w:val="808080" w:themeColor="background1" w:themeShade="80"/>
                <w:sz w:val="20"/>
                <w:szCs w:val="20"/>
              </w:rPr>
              <w:t>,</w:t>
            </w:r>
            <w:r w:rsidR="00F56943" w:rsidRPr="00B74333">
              <w:rPr>
                <w:rFonts w:cstheme="minorHAnsi"/>
                <w:i/>
                <w:iCs/>
                <w:color w:val="808080" w:themeColor="background1" w:themeShade="80"/>
                <w:sz w:val="20"/>
                <w:szCs w:val="20"/>
              </w:rPr>
              <w:t xml:space="preserve"> by d</w:t>
            </w:r>
            <w:r w:rsidRPr="00B74333">
              <w:rPr>
                <w:rFonts w:cstheme="minorHAnsi"/>
                <w:i/>
                <w:iCs/>
                <w:color w:val="808080" w:themeColor="background1" w:themeShade="80"/>
                <w:sz w:val="20"/>
                <w:szCs w:val="20"/>
              </w:rPr>
              <w:t>elet</w:t>
            </w:r>
            <w:r w:rsidR="00F56943" w:rsidRPr="00B74333">
              <w:rPr>
                <w:rFonts w:cstheme="minorHAnsi"/>
                <w:i/>
                <w:iCs/>
                <w:color w:val="808080" w:themeColor="background1" w:themeShade="80"/>
                <w:sz w:val="20"/>
                <w:szCs w:val="20"/>
              </w:rPr>
              <w:t>ing</w:t>
            </w:r>
            <w:r w:rsidRPr="00B74333">
              <w:rPr>
                <w:rFonts w:cstheme="minorHAnsi"/>
                <w:i/>
                <w:iCs/>
                <w:color w:val="808080" w:themeColor="background1" w:themeShade="80"/>
                <w:sz w:val="20"/>
                <w:szCs w:val="20"/>
              </w:rPr>
              <w:t xml:space="preserve"> as appropriate.</w:t>
            </w:r>
          </w:p>
          <w:p w14:paraId="7512FF63" w14:textId="77777777" w:rsidR="00B84127" w:rsidRPr="00B74333" w:rsidRDefault="00B84127" w:rsidP="009D41C8">
            <w:pPr>
              <w:spacing w:after="0"/>
              <w:jc w:val="both"/>
              <w:rPr>
                <w:rFonts w:cstheme="minorHAnsi"/>
                <w:i/>
                <w:iCs/>
                <w:color w:val="808080" w:themeColor="background1" w:themeShade="80"/>
                <w:sz w:val="20"/>
                <w:szCs w:val="20"/>
              </w:rPr>
            </w:pPr>
          </w:p>
          <w:p w14:paraId="55E3F6E6" w14:textId="4C833F47" w:rsidR="00DD11BF" w:rsidRPr="00B74333" w:rsidRDefault="00DD11BF" w:rsidP="009D41C8">
            <w:pPr>
              <w:spacing w:after="0"/>
              <w:jc w:val="both"/>
              <w:rPr>
                <w:rFonts w:cstheme="minorHAnsi"/>
                <w:i/>
                <w:iCs/>
                <w:sz w:val="20"/>
                <w:szCs w:val="20"/>
              </w:rPr>
            </w:pPr>
            <w:r w:rsidRPr="00B74333">
              <w:rPr>
                <w:rFonts w:cstheme="minorHAnsi"/>
                <w:i/>
                <w:iCs/>
                <w:color w:val="808080" w:themeColor="background1" w:themeShade="80"/>
                <w:sz w:val="20"/>
                <w:szCs w:val="20"/>
              </w:rPr>
              <w:t xml:space="preserve">If </w:t>
            </w:r>
            <w:proofErr w:type="gramStart"/>
            <w:r w:rsidR="00624BC9" w:rsidRPr="00B74333">
              <w:rPr>
                <w:rFonts w:cstheme="minorHAnsi"/>
                <w:i/>
                <w:iCs/>
                <w:color w:val="808080" w:themeColor="background1" w:themeShade="80"/>
                <w:sz w:val="20"/>
                <w:szCs w:val="20"/>
              </w:rPr>
              <w:t>Y</w:t>
            </w:r>
            <w:r w:rsidRPr="00B74333">
              <w:rPr>
                <w:rFonts w:cstheme="minorHAnsi"/>
                <w:i/>
                <w:iCs/>
                <w:color w:val="808080" w:themeColor="background1" w:themeShade="80"/>
                <w:sz w:val="20"/>
                <w:szCs w:val="20"/>
              </w:rPr>
              <w:t>es</w:t>
            </w:r>
            <w:proofErr w:type="gramEnd"/>
            <w:r w:rsidRPr="00B74333">
              <w:rPr>
                <w:rFonts w:cstheme="minorHAnsi"/>
                <w:i/>
                <w:iCs/>
                <w:color w:val="808080" w:themeColor="background1" w:themeShade="80"/>
                <w:sz w:val="20"/>
                <w:szCs w:val="20"/>
              </w:rPr>
              <w:t>, please set out</w:t>
            </w:r>
            <w:r w:rsidR="00394EA5" w:rsidRPr="00B74333">
              <w:rPr>
                <w:rFonts w:cstheme="minorHAnsi"/>
                <w:i/>
                <w:iCs/>
                <w:color w:val="808080" w:themeColor="background1" w:themeShade="80"/>
                <w:sz w:val="20"/>
                <w:szCs w:val="20"/>
              </w:rPr>
              <w:t xml:space="preserve"> the</w:t>
            </w:r>
            <w:r w:rsidRPr="00B74333">
              <w:rPr>
                <w:rFonts w:cstheme="minorHAnsi"/>
                <w:i/>
                <w:iCs/>
                <w:color w:val="808080" w:themeColor="background1" w:themeShade="80"/>
                <w:sz w:val="20"/>
                <w:szCs w:val="20"/>
              </w:rPr>
              <w:t xml:space="preserve"> minimum acceptable capacity in kWh per Gas Day]</w:t>
            </w:r>
          </w:p>
        </w:tc>
        <w:tc>
          <w:tcPr>
            <w:tcW w:w="799" w:type="pct"/>
            <w:tcBorders>
              <w:top w:val="single" w:sz="4" w:space="0" w:color="auto"/>
              <w:left w:val="single" w:sz="4" w:space="0" w:color="auto"/>
              <w:bottom w:val="single" w:sz="4" w:space="0" w:color="auto"/>
              <w:right w:val="single" w:sz="4" w:space="0" w:color="auto"/>
            </w:tcBorders>
          </w:tcPr>
          <w:p w14:paraId="65A7E2EC" w14:textId="77777777" w:rsidR="00E73489" w:rsidRPr="00B74333" w:rsidRDefault="00E73489" w:rsidP="00E73489">
            <w:pPr>
              <w:spacing w:after="0"/>
              <w:jc w:val="both"/>
              <w:rPr>
                <w:rFonts w:cstheme="minorHAnsi"/>
                <w:b/>
                <w:iCs/>
                <w:color w:val="0070C0"/>
                <w:sz w:val="20"/>
                <w:szCs w:val="20"/>
              </w:rPr>
            </w:pPr>
            <w:r w:rsidRPr="00B74333">
              <w:rPr>
                <w:rFonts w:cstheme="minorHAnsi"/>
                <w:b/>
                <w:iCs/>
                <w:color w:val="0070C0"/>
                <w:sz w:val="20"/>
                <w:szCs w:val="20"/>
              </w:rPr>
              <w:t>Yes/No</w:t>
            </w:r>
          </w:p>
          <w:p w14:paraId="0DB9C270" w14:textId="77777777" w:rsidR="00DD11BF" w:rsidRPr="00B74333" w:rsidRDefault="00DD11BF" w:rsidP="009D41C8">
            <w:pPr>
              <w:spacing w:after="0"/>
              <w:jc w:val="both"/>
              <w:rPr>
                <w:rFonts w:cstheme="minorHAnsi"/>
                <w:b/>
                <w:iCs/>
                <w:color w:val="0070C0"/>
                <w:sz w:val="20"/>
                <w:szCs w:val="20"/>
              </w:rPr>
            </w:pPr>
          </w:p>
          <w:p w14:paraId="01D2188B" w14:textId="77777777" w:rsidR="004B5AC7" w:rsidRPr="00B74333" w:rsidRDefault="004B5AC7" w:rsidP="009D41C8">
            <w:pPr>
              <w:spacing w:after="0"/>
              <w:jc w:val="both"/>
              <w:rPr>
                <w:rFonts w:cstheme="minorHAnsi"/>
                <w:b/>
                <w:iCs/>
                <w:color w:val="0070C0"/>
                <w:sz w:val="20"/>
                <w:szCs w:val="20"/>
              </w:rPr>
            </w:pPr>
          </w:p>
          <w:p w14:paraId="32698EB6" w14:textId="0BE1B90F" w:rsidR="00C20765" w:rsidRPr="00B74333" w:rsidRDefault="00FE762A" w:rsidP="009D41C8">
            <w:pPr>
              <w:spacing w:after="0"/>
              <w:jc w:val="both"/>
              <w:rPr>
                <w:rFonts w:cstheme="minorHAnsi"/>
                <w:b/>
                <w:i/>
                <w:iCs/>
                <w:color w:val="0070C0"/>
                <w:sz w:val="20"/>
                <w:szCs w:val="20"/>
              </w:rPr>
            </w:pPr>
            <w:r w:rsidRPr="00B74333">
              <w:rPr>
                <w:rFonts w:cstheme="minorHAnsi"/>
                <w:i/>
                <w:iCs/>
                <w:color w:val="808080" w:themeColor="background1" w:themeShade="80"/>
                <w:sz w:val="20"/>
                <w:szCs w:val="20"/>
              </w:rPr>
              <w:t>[</w:t>
            </w:r>
            <w:r w:rsidR="00C1161B" w:rsidRPr="00B74333">
              <w:rPr>
                <w:rFonts w:cstheme="minorHAnsi"/>
                <w:i/>
                <w:iCs/>
                <w:color w:val="808080" w:themeColor="background1" w:themeShade="80"/>
                <w:sz w:val="20"/>
                <w:szCs w:val="20"/>
              </w:rPr>
              <w:t>In case it has been indicated, in column Entry/Exit Point, that</w:t>
            </w:r>
            <w:r w:rsidR="009437EA" w:rsidRPr="00B74333">
              <w:rPr>
                <w:rFonts w:cstheme="minorHAnsi"/>
                <w:i/>
                <w:iCs/>
                <w:color w:val="808080" w:themeColor="background1" w:themeShade="80"/>
                <w:sz w:val="20"/>
                <w:szCs w:val="20"/>
              </w:rPr>
              <w:t xml:space="preserve"> the Binding Bid refers to a Linked Bid</w:t>
            </w:r>
            <w:r w:rsidR="001B48A3" w:rsidRPr="00B74333">
              <w:rPr>
                <w:rFonts w:cstheme="minorHAnsi"/>
                <w:i/>
                <w:iCs/>
                <w:color w:val="808080" w:themeColor="background1" w:themeShade="80"/>
                <w:sz w:val="20"/>
                <w:szCs w:val="20"/>
              </w:rPr>
              <w:t>, indicate</w:t>
            </w:r>
            <w:r w:rsidR="00F41F3E" w:rsidRPr="00B74333">
              <w:rPr>
                <w:rFonts w:cstheme="minorHAnsi"/>
                <w:i/>
                <w:iCs/>
                <w:color w:val="808080" w:themeColor="background1" w:themeShade="80"/>
                <w:sz w:val="20"/>
                <w:szCs w:val="20"/>
              </w:rPr>
              <w:t xml:space="preserve"> </w:t>
            </w:r>
            <w:r w:rsidR="00A015A8" w:rsidRPr="00B74333">
              <w:rPr>
                <w:rFonts w:cstheme="minorHAnsi"/>
                <w:i/>
                <w:iCs/>
                <w:color w:val="808080" w:themeColor="background1" w:themeShade="80"/>
                <w:sz w:val="20"/>
                <w:szCs w:val="20"/>
              </w:rPr>
              <w:t>whether</w:t>
            </w:r>
            <w:r w:rsidR="00CD2F6E" w:rsidRPr="00B74333">
              <w:rPr>
                <w:rFonts w:cstheme="minorHAnsi"/>
                <w:i/>
                <w:iCs/>
                <w:color w:val="808080" w:themeColor="background1" w:themeShade="80"/>
                <w:sz w:val="20"/>
                <w:szCs w:val="20"/>
              </w:rPr>
              <w:t xml:space="preserve"> conversion</w:t>
            </w:r>
            <w:r w:rsidR="008D6F67" w:rsidRPr="00B74333">
              <w:rPr>
                <w:rFonts w:cstheme="minorHAnsi"/>
                <w:i/>
                <w:iCs/>
                <w:color w:val="808080" w:themeColor="background1" w:themeShade="80"/>
                <w:sz w:val="20"/>
                <w:szCs w:val="20"/>
              </w:rPr>
              <w:t xml:space="preserve"> of the Linked Bid</w:t>
            </w:r>
            <w:r w:rsidR="003F3C65" w:rsidRPr="00B74333">
              <w:rPr>
                <w:rFonts w:cstheme="minorHAnsi"/>
                <w:i/>
                <w:iCs/>
                <w:color w:val="808080" w:themeColor="background1" w:themeShade="80"/>
                <w:sz w:val="20"/>
                <w:szCs w:val="20"/>
              </w:rPr>
              <w:t xml:space="preserve"> to </w:t>
            </w:r>
            <w:r w:rsidR="00F543A7" w:rsidRPr="00B74333">
              <w:rPr>
                <w:rFonts w:cstheme="minorHAnsi"/>
                <w:i/>
                <w:iCs/>
                <w:color w:val="808080" w:themeColor="background1" w:themeShade="80"/>
                <w:sz w:val="20"/>
                <w:szCs w:val="20"/>
              </w:rPr>
              <w:t>Coupled Capacity product is accept</w:t>
            </w:r>
            <w:r w:rsidR="0044636B" w:rsidRPr="00B74333">
              <w:rPr>
                <w:rFonts w:cstheme="minorHAnsi"/>
                <w:i/>
                <w:iCs/>
                <w:color w:val="808080" w:themeColor="background1" w:themeShade="80"/>
                <w:sz w:val="20"/>
                <w:szCs w:val="20"/>
              </w:rPr>
              <w:t>able</w:t>
            </w:r>
            <w:r w:rsidR="00F16FAF" w:rsidRPr="00B74333">
              <w:rPr>
                <w:rFonts w:cstheme="minorHAnsi"/>
                <w:i/>
                <w:iCs/>
                <w:color w:val="808080" w:themeColor="background1" w:themeShade="80"/>
                <w:sz w:val="20"/>
                <w:szCs w:val="20"/>
              </w:rPr>
              <w:t xml:space="preserve"> or not</w:t>
            </w:r>
            <w:r w:rsidR="000622A5" w:rsidRPr="00B74333">
              <w:rPr>
                <w:rFonts w:cstheme="minorHAnsi"/>
                <w:i/>
                <w:iCs/>
                <w:color w:val="808080" w:themeColor="background1" w:themeShade="80"/>
                <w:sz w:val="20"/>
                <w:szCs w:val="20"/>
              </w:rPr>
              <w:t>, according to Section 5.6 of the Guidelines</w:t>
            </w:r>
            <w:r w:rsidR="00F16FAF" w:rsidRPr="00B74333">
              <w:rPr>
                <w:rFonts w:cstheme="minorHAnsi"/>
                <w:i/>
                <w:iCs/>
                <w:color w:val="808080" w:themeColor="background1" w:themeShade="80"/>
                <w:sz w:val="20"/>
                <w:szCs w:val="20"/>
              </w:rPr>
              <w:t>, by</w:t>
            </w:r>
            <w:r w:rsidR="00C1161B" w:rsidRPr="00B74333">
              <w:rPr>
                <w:rFonts w:cstheme="minorHAnsi"/>
                <w:i/>
                <w:iCs/>
                <w:color w:val="808080" w:themeColor="background1" w:themeShade="80"/>
                <w:sz w:val="20"/>
                <w:szCs w:val="20"/>
              </w:rPr>
              <w:t xml:space="preserve"> </w:t>
            </w:r>
            <w:r w:rsidR="00F16FAF" w:rsidRPr="00B74333">
              <w:rPr>
                <w:rFonts w:cstheme="minorHAnsi"/>
                <w:i/>
                <w:iCs/>
                <w:color w:val="808080" w:themeColor="background1" w:themeShade="80"/>
                <w:sz w:val="20"/>
                <w:szCs w:val="20"/>
              </w:rPr>
              <w:t>d</w:t>
            </w:r>
            <w:r w:rsidR="00C20765" w:rsidRPr="00B74333">
              <w:rPr>
                <w:rFonts w:cstheme="minorHAnsi"/>
                <w:i/>
                <w:iCs/>
                <w:color w:val="808080" w:themeColor="background1" w:themeShade="80"/>
                <w:sz w:val="20"/>
                <w:szCs w:val="20"/>
              </w:rPr>
              <w:t>elet</w:t>
            </w:r>
            <w:r w:rsidR="00F16FAF" w:rsidRPr="00B74333">
              <w:rPr>
                <w:rFonts w:cstheme="minorHAnsi"/>
                <w:i/>
                <w:iCs/>
                <w:color w:val="808080" w:themeColor="background1" w:themeShade="80"/>
                <w:sz w:val="20"/>
                <w:szCs w:val="20"/>
              </w:rPr>
              <w:t>ing</w:t>
            </w:r>
            <w:r w:rsidR="00C20765" w:rsidRPr="00B74333">
              <w:rPr>
                <w:rFonts w:cstheme="minorHAnsi"/>
                <w:i/>
                <w:iCs/>
                <w:color w:val="808080" w:themeColor="background1" w:themeShade="80"/>
                <w:sz w:val="20"/>
                <w:szCs w:val="20"/>
              </w:rPr>
              <w:t xml:space="preserve"> as appropriate</w:t>
            </w:r>
            <w:r w:rsidRPr="00B74333">
              <w:rPr>
                <w:rFonts w:cstheme="minorHAnsi"/>
                <w:i/>
                <w:iCs/>
                <w:color w:val="808080" w:themeColor="background1" w:themeShade="80"/>
                <w:sz w:val="20"/>
                <w:szCs w:val="20"/>
              </w:rPr>
              <w:t>]</w:t>
            </w:r>
          </w:p>
        </w:tc>
      </w:tr>
      <w:tr w:rsidR="00C27AEA" w:rsidRPr="00B74333" w14:paraId="421A8FA7" w14:textId="36DBC6A3" w:rsidTr="009D41C8">
        <w:trPr>
          <w:jc w:val="center"/>
        </w:trPr>
        <w:tc>
          <w:tcPr>
            <w:tcW w:w="122" w:type="pct"/>
            <w:tcBorders>
              <w:top w:val="single" w:sz="4" w:space="0" w:color="auto"/>
              <w:left w:val="single" w:sz="4" w:space="0" w:color="auto"/>
              <w:bottom w:val="single" w:sz="4" w:space="0" w:color="auto"/>
              <w:right w:val="single" w:sz="4" w:space="0" w:color="auto"/>
            </w:tcBorders>
          </w:tcPr>
          <w:p w14:paraId="120B5567" w14:textId="377AC584" w:rsidR="00DD11BF" w:rsidRPr="00B74333" w:rsidRDefault="004D1389" w:rsidP="00D849C6">
            <w:pPr>
              <w:rPr>
                <w:rFonts w:cstheme="minorHAnsi"/>
                <w:b/>
                <w:iCs/>
                <w:color w:val="0070C0"/>
                <w:sz w:val="20"/>
                <w:szCs w:val="20"/>
              </w:rPr>
            </w:pPr>
            <w:r w:rsidRPr="00B74333">
              <w:rPr>
                <w:rFonts w:cstheme="minorHAnsi"/>
                <w:b/>
                <w:iCs/>
                <w:color w:val="0070C0"/>
                <w:sz w:val="20"/>
                <w:szCs w:val="20"/>
              </w:rPr>
              <w:t xml:space="preserve"> </w:t>
            </w:r>
            <w:r w:rsidR="00DD11BF" w:rsidRPr="00B74333">
              <w:rPr>
                <w:rFonts w:cstheme="minorHAnsi"/>
                <w:b/>
                <w:iCs/>
                <w:color w:val="0070C0"/>
                <w:sz w:val="20"/>
                <w:szCs w:val="20"/>
              </w:rPr>
              <w:t>2.</w:t>
            </w:r>
          </w:p>
        </w:tc>
        <w:tc>
          <w:tcPr>
            <w:tcW w:w="8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81833" w14:textId="758936C9" w:rsidR="00DD11BF" w:rsidRPr="00B74333" w:rsidRDefault="00DD11BF" w:rsidP="00D849C6">
            <w:pPr>
              <w:rPr>
                <w:rFonts w:cstheme="minorHAnsi"/>
                <w:b/>
                <w:iCs/>
                <w:color w:val="0070C0"/>
                <w:sz w:val="20"/>
                <w:szCs w:val="20"/>
              </w:rPr>
            </w:pP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536D2" w14:textId="77777777" w:rsidR="00DD11BF" w:rsidRPr="00B74333" w:rsidRDefault="00DD11BF" w:rsidP="00D849C6">
            <w:pPr>
              <w:jc w:val="both"/>
              <w:rPr>
                <w:rFonts w:cstheme="minorHAnsi"/>
                <w:i/>
                <w:iCs/>
                <w:sz w:val="20"/>
                <w:szCs w:val="20"/>
              </w:rPr>
            </w:pPr>
          </w:p>
        </w:tc>
        <w:tc>
          <w:tcPr>
            <w:tcW w:w="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4C50B" w14:textId="77777777" w:rsidR="00DD11BF" w:rsidRPr="00B74333" w:rsidRDefault="00DD11BF" w:rsidP="00D849C6">
            <w:pPr>
              <w:rPr>
                <w:rFonts w:cstheme="minorHAnsi"/>
                <w:i/>
                <w:iCs/>
                <w:sz w:val="20"/>
                <w:szCs w:val="20"/>
              </w:rPr>
            </w:pP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81E06" w14:textId="77777777" w:rsidR="00DD11BF" w:rsidRPr="00B74333" w:rsidRDefault="00DD11BF" w:rsidP="00D849C6">
            <w:pPr>
              <w:rPr>
                <w:rFonts w:cstheme="minorHAnsi"/>
                <w:i/>
                <w:iCs/>
                <w:sz w:val="20"/>
                <w:szCs w:val="20"/>
              </w:rPr>
            </w:pP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49CA7" w14:textId="77777777" w:rsidR="00DD11BF" w:rsidRPr="00B74333" w:rsidRDefault="00DD11BF" w:rsidP="00D849C6">
            <w:pPr>
              <w:rPr>
                <w:rFonts w:cstheme="minorHAnsi"/>
                <w:b/>
                <w:iCs/>
                <w:color w:val="0070C0"/>
                <w:sz w:val="20"/>
                <w:szCs w:val="20"/>
              </w:rPr>
            </w:pPr>
          </w:p>
        </w:tc>
        <w:tc>
          <w:tcPr>
            <w:tcW w:w="799" w:type="pct"/>
            <w:tcBorders>
              <w:top w:val="single" w:sz="4" w:space="0" w:color="auto"/>
              <w:left w:val="single" w:sz="4" w:space="0" w:color="auto"/>
              <w:bottom w:val="single" w:sz="4" w:space="0" w:color="auto"/>
              <w:right w:val="single" w:sz="4" w:space="0" w:color="auto"/>
            </w:tcBorders>
          </w:tcPr>
          <w:p w14:paraId="286025FF" w14:textId="77777777" w:rsidR="00DD11BF" w:rsidRPr="00B74333" w:rsidRDefault="00DD11BF" w:rsidP="00D849C6">
            <w:pPr>
              <w:rPr>
                <w:rFonts w:cstheme="minorHAnsi"/>
                <w:b/>
                <w:iCs/>
                <w:color w:val="0070C0"/>
                <w:sz w:val="20"/>
                <w:szCs w:val="20"/>
              </w:rPr>
            </w:pPr>
          </w:p>
        </w:tc>
      </w:tr>
      <w:tr w:rsidR="00C27AEA" w:rsidRPr="00B74333" w14:paraId="5B0C30EA" w14:textId="15203C1F" w:rsidTr="009D41C8">
        <w:trPr>
          <w:jc w:val="center"/>
        </w:trPr>
        <w:tc>
          <w:tcPr>
            <w:tcW w:w="122" w:type="pct"/>
            <w:tcBorders>
              <w:top w:val="single" w:sz="4" w:space="0" w:color="auto"/>
              <w:left w:val="single" w:sz="4" w:space="0" w:color="auto"/>
              <w:bottom w:val="single" w:sz="4" w:space="0" w:color="auto"/>
              <w:right w:val="single" w:sz="4" w:space="0" w:color="auto"/>
            </w:tcBorders>
          </w:tcPr>
          <w:p w14:paraId="1005E378" w14:textId="0EBDEBD9" w:rsidR="00DD11BF" w:rsidRPr="00B74333" w:rsidRDefault="004D1389" w:rsidP="00D849C6">
            <w:pPr>
              <w:rPr>
                <w:rFonts w:cstheme="minorHAnsi"/>
                <w:b/>
                <w:iCs/>
                <w:color w:val="0070C0"/>
                <w:sz w:val="20"/>
                <w:szCs w:val="20"/>
              </w:rPr>
            </w:pPr>
            <w:r w:rsidRPr="00B74333">
              <w:rPr>
                <w:rFonts w:cstheme="minorHAnsi"/>
                <w:b/>
                <w:iCs/>
                <w:color w:val="0070C0"/>
                <w:sz w:val="20"/>
                <w:szCs w:val="20"/>
              </w:rPr>
              <w:t xml:space="preserve"> </w:t>
            </w:r>
            <w:r w:rsidR="00DD11BF" w:rsidRPr="00B74333">
              <w:rPr>
                <w:rFonts w:cstheme="minorHAnsi"/>
                <w:b/>
                <w:iCs/>
                <w:color w:val="0070C0"/>
                <w:sz w:val="20"/>
                <w:szCs w:val="20"/>
              </w:rPr>
              <w:t>3.</w:t>
            </w:r>
          </w:p>
        </w:tc>
        <w:tc>
          <w:tcPr>
            <w:tcW w:w="8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4385A" w14:textId="77777777" w:rsidR="00DD11BF" w:rsidRPr="00B74333" w:rsidRDefault="00DD11BF" w:rsidP="00D849C6">
            <w:pPr>
              <w:rPr>
                <w:rFonts w:cstheme="minorHAnsi"/>
                <w:b/>
                <w:iCs/>
                <w:color w:val="0070C0"/>
                <w:sz w:val="20"/>
                <w:szCs w:val="20"/>
              </w:rPr>
            </w:pPr>
          </w:p>
        </w:tc>
        <w:tc>
          <w:tcPr>
            <w:tcW w:w="8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2B2A8" w14:textId="77777777" w:rsidR="00DD11BF" w:rsidRPr="00B74333" w:rsidRDefault="00DD11BF" w:rsidP="00D849C6">
            <w:pPr>
              <w:jc w:val="both"/>
              <w:rPr>
                <w:rFonts w:cstheme="minorHAnsi"/>
                <w:i/>
                <w:iCs/>
                <w:sz w:val="20"/>
                <w:szCs w:val="20"/>
              </w:rPr>
            </w:pPr>
          </w:p>
        </w:tc>
        <w:tc>
          <w:tcPr>
            <w:tcW w:w="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CA854" w14:textId="77777777" w:rsidR="00DD11BF" w:rsidRPr="00B74333" w:rsidRDefault="00DD11BF" w:rsidP="00D849C6">
            <w:pPr>
              <w:rPr>
                <w:rFonts w:cstheme="minorHAnsi"/>
                <w:i/>
                <w:iCs/>
                <w:sz w:val="20"/>
                <w:szCs w:val="20"/>
              </w:rPr>
            </w:pP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27B6D" w14:textId="77777777" w:rsidR="00DD11BF" w:rsidRPr="00B74333" w:rsidRDefault="00DD11BF" w:rsidP="00D849C6">
            <w:pPr>
              <w:rPr>
                <w:rFonts w:cstheme="minorHAnsi"/>
                <w:i/>
                <w:iCs/>
                <w:sz w:val="20"/>
                <w:szCs w:val="20"/>
              </w:rPr>
            </w:pP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E76D" w14:textId="77777777" w:rsidR="00DD11BF" w:rsidRPr="00B74333" w:rsidRDefault="00DD11BF" w:rsidP="00D849C6">
            <w:pPr>
              <w:rPr>
                <w:rFonts w:cstheme="minorHAnsi"/>
                <w:b/>
                <w:iCs/>
                <w:color w:val="0070C0"/>
                <w:sz w:val="20"/>
                <w:szCs w:val="20"/>
              </w:rPr>
            </w:pPr>
          </w:p>
        </w:tc>
        <w:tc>
          <w:tcPr>
            <w:tcW w:w="799" w:type="pct"/>
            <w:tcBorders>
              <w:top w:val="single" w:sz="4" w:space="0" w:color="auto"/>
              <w:left w:val="single" w:sz="4" w:space="0" w:color="auto"/>
              <w:bottom w:val="single" w:sz="4" w:space="0" w:color="auto"/>
              <w:right w:val="single" w:sz="4" w:space="0" w:color="auto"/>
            </w:tcBorders>
          </w:tcPr>
          <w:p w14:paraId="10AF27F6" w14:textId="77777777" w:rsidR="00DD11BF" w:rsidRPr="00B74333" w:rsidRDefault="00DD11BF" w:rsidP="00D849C6">
            <w:pPr>
              <w:rPr>
                <w:rFonts w:cstheme="minorHAnsi"/>
                <w:b/>
                <w:iCs/>
                <w:color w:val="0070C0"/>
                <w:sz w:val="20"/>
                <w:szCs w:val="20"/>
              </w:rPr>
            </w:pPr>
          </w:p>
        </w:tc>
      </w:tr>
    </w:tbl>
    <w:p w14:paraId="2801E7FB" w14:textId="77777777" w:rsidR="004665FF" w:rsidRPr="00B74333" w:rsidRDefault="004665FF" w:rsidP="002763F7">
      <w:pPr>
        <w:jc w:val="both"/>
        <w:rPr>
          <w:rFonts w:cstheme="minorHAnsi"/>
          <w:i/>
        </w:rPr>
      </w:pPr>
    </w:p>
    <w:p w14:paraId="63B294EA" w14:textId="3797C0CB" w:rsidR="002763F7" w:rsidRPr="00B74333" w:rsidRDefault="002763F7" w:rsidP="002763F7">
      <w:pPr>
        <w:jc w:val="both"/>
        <w:rPr>
          <w:rFonts w:cstheme="minorHAnsi"/>
          <w:i/>
        </w:rPr>
      </w:pPr>
      <w:r w:rsidRPr="00B74333">
        <w:rPr>
          <w:rFonts w:cstheme="minorHAnsi"/>
          <w:i/>
        </w:rPr>
        <w:t xml:space="preserve">[1] The Binding Bid </w:t>
      </w:r>
      <w:proofErr w:type="gramStart"/>
      <w:r w:rsidRPr="00B74333">
        <w:rPr>
          <w:rFonts w:cstheme="minorHAnsi"/>
          <w:i/>
        </w:rPr>
        <w:t>concerns</w:t>
      </w:r>
      <w:proofErr w:type="gramEnd"/>
      <w:r w:rsidRPr="00B74333">
        <w:rPr>
          <w:rFonts w:cstheme="minorHAnsi"/>
          <w:i/>
        </w:rPr>
        <w:t xml:space="preserve"> Firm Capacity in DESFA System. The Participant is obliged to also submit a respective Binding Bid to</w:t>
      </w:r>
      <w:r w:rsidR="00961650" w:rsidRPr="00B74333">
        <w:rPr>
          <w:rFonts w:cstheme="minorHAnsi"/>
          <w:i/>
        </w:rPr>
        <w:t xml:space="preserve"> </w:t>
      </w:r>
      <w:r w:rsidR="00542527" w:rsidRPr="00B74333">
        <w:rPr>
          <w:rFonts w:cstheme="minorHAnsi"/>
          <w:i/>
        </w:rPr>
        <w:t>ICGB for Komotini IP and/or to BULGRATRANSGAZ</w:t>
      </w:r>
      <w:r w:rsidR="00961650" w:rsidRPr="00B74333">
        <w:rPr>
          <w:rFonts w:cstheme="minorHAnsi"/>
          <w:i/>
        </w:rPr>
        <w:t xml:space="preserve"> for </w:t>
      </w:r>
      <w:r w:rsidR="00C27F59" w:rsidRPr="00B74333">
        <w:rPr>
          <w:rFonts w:cstheme="minorHAnsi"/>
          <w:i/>
        </w:rPr>
        <w:t>Sidirokastro IP</w:t>
      </w:r>
      <w:r w:rsidR="003677CB" w:rsidRPr="00B74333">
        <w:rPr>
          <w:rFonts w:cstheme="minorHAnsi"/>
          <w:i/>
        </w:rPr>
        <w:t xml:space="preserve">, in case </w:t>
      </w:r>
      <w:r w:rsidR="00B9449E" w:rsidRPr="00B74333">
        <w:rPr>
          <w:rFonts w:cstheme="minorHAnsi"/>
          <w:i/>
        </w:rPr>
        <w:t xml:space="preserve">the </w:t>
      </w:r>
      <w:r w:rsidR="00ED2B5C" w:rsidRPr="00B74333">
        <w:rPr>
          <w:rFonts w:cstheme="minorHAnsi"/>
          <w:i/>
        </w:rPr>
        <w:t>Binding Bid</w:t>
      </w:r>
      <w:r w:rsidR="00951437" w:rsidRPr="00B74333">
        <w:rPr>
          <w:rFonts w:cstheme="minorHAnsi"/>
          <w:i/>
        </w:rPr>
        <w:t xml:space="preserve"> </w:t>
      </w:r>
      <w:r w:rsidR="00622BB5" w:rsidRPr="00B74333">
        <w:rPr>
          <w:rFonts w:cstheme="minorHAnsi"/>
          <w:i/>
        </w:rPr>
        <w:t>for</w:t>
      </w:r>
      <w:r w:rsidR="00951437" w:rsidRPr="00B74333">
        <w:rPr>
          <w:rFonts w:cstheme="minorHAnsi"/>
          <w:i/>
        </w:rPr>
        <w:t xml:space="preserve"> DESFA</w:t>
      </w:r>
      <w:r w:rsidR="00ED2B5C" w:rsidRPr="00B74333">
        <w:rPr>
          <w:rFonts w:cstheme="minorHAnsi"/>
          <w:i/>
        </w:rPr>
        <w:t xml:space="preserve"> </w:t>
      </w:r>
      <w:r w:rsidR="00622BB5" w:rsidRPr="00B74333">
        <w:rPr>
          <w:rFonts w:cstheme="minorHAnsi"/>
          <w:i/>
        </w:rPr>
        <w:t xml:space="preserve">System </w:t>
      </w:r>
      <w:r w:rsidR="00ED2B5C" w:rsidRPr="00B74333">
        <w:rPr>
          <w:rFonts w:cstheme="minorHAnsi"/>
          <w:i/>
        </w:rPr>
        <w:t xml:space="preserve">includes </w:t>
      </w:r>
      <w:r w:rsidR="00C35413" w:rsidRPr="00B74333">
        <w:rPr>
          <w:rFonts w:cstheme="minorHAnsi"/>
          <w:i/>
        </w:rPr>
        <w:t>said IPs</w:t>
      </w:r>
      <w:r w:rsidRPr="00B74333">
        <w:rPr>
          <w:rFonts w:cstheme="minorHAnsi"/>
          <w:i/>
        </w:rPr>
        <w:t>.</w:t>
      </w:r>
    </w:p>
    <w:p w14:paraId="7DBD65A2" w14:textId="34181891" w:rsidR="00D849C6" w:rsidRPr="00B74333" w:rsidRDefault="006448FC" w:rsidP="007B52CF">
      <w:pPr>
        <w:jc w:val="both"/>
        <w:rPr>
          <w:rFonts w:cstheme="minorHAnsi"/>
          <w:i/>
        </w:rPr>
      </w:pPr>
      <w:r w:rsidRPr="00B74333">
        <w:rPr>
          <w:rFonts w:cstheme="minorHAnsi"/>
          <w:i/>
        </w:rPr>
        <w:t>[</w:t>
      </w:r>
      <w:r w:rsidR="002763F7" w:rsidRPr="00B74333">
        <w:rPr>
          <w:rFonts w:cstheme="minorHAnsi"/>
          <w:i/>
        </w:rPr>
        <w:t>2</w:t>
      </w:r>
      <w:r w:rsidRPr="00B74333">
        <w:rPr>
          <w:rFonts w:cstheme="minorHAnsi"/>
          <w:i/>
        </w:rPr>
        <w:t xml:space="preserve">] </w:t>
      </w:r>
      <w:r w:rsidR="00D849C6" w:rsidRPr="00B74333">
        <w:rPr>
          <w:rFonts w:cstheme="minorHAnsi"/>
          <w:i/>
        </w:rPr>
        <w:t xml:space="preserve">As a rule, Participants may specify only one value of incremental capacity for all </w:t>
      </w:r>
      <w:r w:rsidR="005F7381" w:rsidRPr="00B74333">
        <w:rPr>
          <w:rFonts w:cstheme="minorHAnsi"/>
          <w:i/>
        </w:rPr>
        <w:t>G</w:t>
      </w:r>
      <w:r w:rsidR="00D849C6" w:rsidRPr="00B74333">
        <w:rPr>
          <w:rFonts w:cstheme="minorHAnsi"/>
          <w:i/>
        </w:rPr>
        <w:t xml:space="preserve">as </w:t>
      </w:r>
      <w:r w:rsidR="005F7381" w:rsidRPr="00B74333">
        <w:rPr>
          <w:rFonts w:cstheme="minorHAnsi"/>
          <w:i/>
        </w:rPr>
        <w:t>Y</w:t>
      </w:r>
      <w:r w:rsidR="00D849C6" w:rsidRPr="00B74333">
        <w:rPr>
          <w:rFonts w:cstheme="minorHAnsi"/>
          <w:i/>
        </w:rPr>
        <w:t xml:space="preserve">ears requested, so only line one </w:t>
      </w:r>
      <w:r w:rsidR="00F148D9" w:rsidRPr="00B74333">
        <w:rPr>
          <w:rFonts w:cstheme="minorHAnsi"/>
          <w:i/>
        </w:rPr>
        <w:t xml:space="preserve">(1) </w:t>
      </w:r>
      <w:r w:rsidR="00D849C6" w:rsidRPr="00B74333">
        <w:rPr>
          <w:rFonts w:cstheme="minorHAnsi"/>
          <w:i/>
        </w:rPr>
        <w:t xml:space="preserve">must be filled. A Binding Bid may however indicate a ramp-up over the </w:t>
      </w:r>
      <w:r w:rsidR="00D849C6" w:rsidRPr="00B74333">
        <w:rPr>
          <w:rFonts w:cstheme="minorHAnsi"/>
          <w:i/>
        </w:rPr>
        <w:lastRenderedPageBreak/>
        <w:t>first two</w:t>
      </w:r>
      <w:r w:rsidR="00AC0BE6" w:rsidRPr="00B74333">
        <w:rPr>
          <w:rFonts w:cstheme="minorHAnsi"/>
          <w:i/>
        </w:rPr>
        <w:t xml:space="preserve"> (2)</w:t>
      </w:r>
      <w:r w:rsidR="00D849C6" w:rsidRPr="00B74333">
        <w:rPr>
          <w:rFonts w:cstheme="minorHAnsi"/>
          <w:i/>
        </w:rPr>
        <w:t xml:space="preserve"> </w:t>
      </w:r>
      <w:r w:rsidR="00447807" w:rsidRPr="00B74333">
        <w:rPr>
          <w:rFonts w:cstheme="minorHAnsi"/>
          <w:i/>
        </w:rPr>
        <w:t>Gas Y</w:t>
      </w:r>
      <w:r w:rsidR="00D849C6" w:rsidRPr="00B74333">
        <w:rPr>
          <w:rFonts w:cstheme="minorHAnsi"/>
          <w:i/>
        </w:rPr>
        <w:t xml:space="preserve">ears of the period to which the Binding Bid relates, with a minimum value for the first </w:t>
      </w:r>
      <w:r w:rsidR="00447807" w:rsidRPr="00B74333">
        <w:rPr>
          <w:rFonts w:cstheme="minorHAnsi"/>
          <w:i/>
        </w:rPr>
        <w:t>G</w:t>
      </w:r>
      <w:r w:rsidR="00D849C6" w:rsidRPr="00B74333">
        <w:rPr>
          <w:rFonts w:cstheme="minorHAnsi"/>
          <w:i/>
        </w:rPr>
        <w:t xml:space="preserve">as </w:t>
      </w:r>
      <w:r w:rsidR="00447807" w:rsidRPr="00B74333">
        <w:rPr>
          <w:rFonts w:cstheme="minorHAnsi"/>
          <w:i/>
        </w:rPr>
        <w:t>Y</w:t>
      </w:r>
      <w:r w:rsidR="00D849C6" w:rsidRPr="00B74333">
        <w:rPr>
          <w:rFonts w:cstheme="minorHAnsi"/>
          <w:i/>
        </w:rPr>
        <w:t xml:space="preserve">ear of 40% of capacity and 70% for the second </w:t>
      </w:r>
      <w:r w:rsidR="00447807" w:rsidRPr="00B74333">
        <w:rPr>
          <w:rFonts w:cstheme="minorHAnsi"/>
          <w:i/>
        </w:rPr>
        <w:t>G</w:t>
      </w:r>
      <w:r w:rsidR="00D849C6" w:rsidRPr="00B74333">
        <w:rPr>
          <w:rFonts w:cstheme="minorHAnsi"/>
          <w:i/>
        </w:rPr>
        <w:t xml:space="preserve">as </w:t>
      </w:r>
      <w:r w:rsidR="00447807" w:rsidRPr="00B74333">
        <w:rPr>
          <w:rFonts w:cstheme="minorHAnsi"/>
          <w:i/>
        </w:rPr>
        <w:t>Y</w:t>
      </w:r>
      <w:r w:rsidR="00D849C6" w:rsidRPr="00B74333">
        <w:rPr>
          <w:rFonts w:cstheme="minorHAnsi"/>
          <w:i/>
        </w:rPr>
        <w:t>ear</w:t>
      </w:r>
      <w:r w:rsidR="3FE18DD6" w:rsidRPr="00B74333">
        <w:rPr>
          <w:rFonts w:cstheme="minorHAnsi"/>
          <w:i/>
        </w:rPr>
        <w:t xml:space="preserve"> and/or a ramp-down over the last two years of the period to which the Binding Bid relates, with a minimum value for the second last year of 70% of capacity and 40% for the last year</w:t>
      </w:r>
      <w:r w:rsidR="7831A0BB" w:rsidRPr="00B74333">
        <w:rPr>
          <w:rFonts w:cstheme="minorHAnsi"/>
          <w:i/>
        </w:rPr>
        <w:t>.</w:t>
      </w:r>
      <w:r w:rsidR="00D849C6" w:rsidRPr="00B74333">
        <w:rPr>
          <w:rFonts w:cstheme="minorHAnsi"/>
          <w:i/>
        </w:rPr>
        <w:t xml:space="preserve"> In such case Participants are requested to </w:t>
      </w:r>
      <w:r w:rsidR="00F148D9" w:rsidRPr="00B74333">
        <w:rPr>
          <w:rFonts w:cstheme="minorHAnsi"/>
          <w:i/>
        </w:rPr>
        <w:t>fill</w:t>
      </w:r>
      <w:r w:rsidR="00D849C6" w:rsidRPr="00B74333">
        <w:rPr>
          <w:rFonts w:cstheme="minorHAnsi"/>
          <w:i/>
        </w:rPr>
        <w:t xml:space="preserve"> </w:t>
      </w:r>
      <w:r w:rsidR="003A496B" w:rsidRPr="00B74333">
        <w:rPr>
          <w:rFonts w:cstheme="minorHAnsi"/>
          <w:i/>
        </w:rPr>
        <w:t xml:space="preserve">additional </w:t>
      </w:r>
      <w:r w:rsidR="00D849C6" w:rsidRPr="00B74333">
        <w:rPr>
          <w:rFonts w:cstheme="minorHAnsi"/>
          <w:i/>
        </w:rPr>
        <w:t xml:space="preserve">lines. </w:t>
      </w:r>
      <w:r w:rsidR="006D53F8" w:rsidRPr="00B74333">
        <w:rPr>
          <w:rFonts w:cstheme="minorHAnsi"/>
          <w:i/>
        </w:rPr>
        <w:t xml:space="preserve">In case the </w:t>
      </w:r>
      <w:r w:rsidR="004A4757" w:rsidRPr="00B74333">
        <w:rPr>
          <w:rFonts w:cstheme="minorHAnsi"/>
          <w:i/>
        </w:rPr>
        <w:t>P</w:t>
      </w:r>
      <w:r w:rsidR="006D53F8" w:rsidRPr="00B74333">
        <w:rPr>
          <w:rFonts w:cstheme="minorHAnsi"/>
          <w:i/>
        </w:rPr>
        <w:t>articipan</w:t>
      </w:r>
      <w:r w:rsidR="00CA5144" w:rsidRPr="00B74333">
        <w:rPr>
          <w:rFonts w:cstheme="minorHAnsi"/>
          <w:i/>
        </w:rPr>
        <w:t xml:space="preserve">t </w:t>
      </w:r>
      <w:r w:rsidR="00C9298B" w:rsidRPr="00B74333">
        <w:rPr>
          <w:rFonts w:cstheme="minorHAnsi"/>
          <w:i/>
        </w:rPr>
        <w:t>request</w:t>
      </w:r>
      <w:r w:rsidR="00EF0C40" w:rsidRPr="00B74333">
        <w:rPr>
          <w:rFonts w:cstheme="minorHAnsi"/>
          <w:i/>
        </w:rPr>
        <w:t>s</w:t>
      </w:r>
      <w:r w:rsidR="00C9298B" w:rsidRPr="00B74333">
        <w:rPr>
          <w:rFonts w:cstheme="minorHAnsi"/>
          <w:i/>
        </w:rPr>
        <w:t xml:space="preserve"> capacity in more than one </w:t>
      </w:r>
      <w:r w:rsidR="00161616" w:rsidRPr="00B74333">
        <w:rPr>
          <w:rFonts w:cstheme="minorHAnsi"/>
          <w:i/>
        </w:rPr>
        <w:t>IP</w:t>
      </w:r>
      <w:r w:rsidR="008228DE" w:rsidRPr="00B74333">
        <w:rPr>
          <w:rFonts w:cstheme="minorHAnsi"/>
          <w:i/>
        </w:rPr>
        <w:t xml:space="preserve"> and </w:t>
      </w:r>
      <w:r w:rsidR="00C9298B" w:rsidRPr="00B74333">
        <w:rPr>
          <w:rFonts w:cstheme="minorHAnsi"/>
          <w:i/>
        </w:rPr>
        <w:t>direction</w:t>
      </w:r>
      <w:r w:rsidR="008228DE" w:rsidRPr="00B74333">
        <w:rPr>
          <w:rFonts w:cstheme="minorHAnsi"/>
          <w:i/>
        </w:rPr>
        <w:t xml:space="preserve"> or </w:t>
      </w:r>
      <w:r w:rsidR="00DD2C74" w:rsidRPr="00B74333">
        <w:rPr>
          <w:rFonts w:cstheme="minorHAnsi"/>
        </w:rPr>
        <w:t>entry points</w:t>
      </w:r>
      <w:r w:rsidR="004A4757" w:rsidRPr="00B74333">
        <w:rPr>
          <w:rFonts w:cstheme="minorHAnsi"/>
          <w:i/>
        </w:rPr>
        <w:t>, if applicable,</w:t>
      </w:r>
      <w:r w:rsidR="00C9298B" w:rsidRPr="00B74333">
        <w:rPr>
          <w:rFonts w:cstheme="minorHAnsi"/>
          <w:i/>
        </w:rPr>
        <w:t xml:space="preserve"> then additional lines of the above table must be filled.</w:t>
      </w:r>
    </w:p>
    <w:p w14:paraId="11BB6B25" w14:textId="3D084250" w:rsidR="009B77AE" w:rsidRPr="00B74333" w:rsidRDefault="00B90446" w:rsidP="007B52CF">
      <w:pPr>
        <w:jc w:val="both"/>
        <w:rPr>
          <w:rFonts w:cstheme="minorHAnsi"/>
          <w:i/>
        </w:rPr>
      </w:pPr>
      <w:r w:rsidRPr="00B74333">
        <w:rPr>
          <w:rFonts w:cstheme="minorHAnsi"/>
          <w:i/>
        </w:rPr>
        <w:t>[3] C</w:t>
      </w:r>
      <w:r w:rsidR="0087103B" w:rsidRPr="00B74333">
        <w:rPr>
          <w:rFonts w:cstheme="minorHAnsi"/>
          <w:i/>
        </w:rPr>
        <w:t>apacity requests before the</w:t>
      </w:r>
      <w:r w:rsidR="00A17CCC" w:rsidRPr="00B74333">
        <w:rPr>
          <w:rFonts w:cstheme="minorHAnsi"/>
          <w:i/>
        </w:rPr>
        <w:t xml:space="preserve"> </w:t>
      </w:r>
      <w:r w:rsidR="0087103B" w:rsidRPr="00B74333">
        <w:rPr>
          <w:rFonts w:cstheme="minorHAnsi"/>
          <w:i/>
        </w:rPr>
        <w:t>COD</w:t>
      </w:r>
      <w:r w:rsidR="0043259D" w:rsidRPr="00B74333">
        <w:rPr>
          <w:rFonts w:cstheme="minorHAnsi"/>
          <w:i/>
        </w:rPr>
        <w:t xml:space="preserve"> of the offer level which </w:t>
      </w:r>
      <w:r w:rsidR="0063709E" w:rsidRPr="00B74333">
        <w:rPr>
          <w:rFonts w:cstheme="minorHAnsi"/>
          <w:i/>
        </w:rPr>
        <w:t xml:space="preserve">leads to a positive Market Test </w:t>
      </w:r>
      <w:r w:rsidR="00F14C9B" w:rsidRPr="00B74333">
        <w:rPr>
          <w:rFonts w:cstheme="minorHAnsi"/>
          <w:i/>
        </w:rPr>
        <w:t xml:space="preserve">Process </w:t>
      </w:r>
      <w:r w:rsidR="0063709E" w:rsidRPr="00B74333">
        <w:rPr>
          <w:rFonts w:cstheme="minorHAnsi"/>
          <w:i/>
        </w:rPr>
        <w:t>will be curtailed accordingly.</w:t>
      </w:r>
    </w:p>
    <w:p w14:paraId="6540A238" w14:textId="42E881CC" w:rsidR="0038413F" w:rsidRPr="00B74333" w:rsidRDefault="00CC5672" w:rsidP="00F23DE1">
      <w:pPr>
        <w:jc w:val="both"/>
        <w:rPr>
          <w:rFonts w:cstheme="minorHAnsi"/>
          <w:i/>
        </w:rPr>
      </w:pPr>
      <w:r w:rsidRPr="00B74333">
        <w:rPr>
          <w:rFonts w:cstheme="minorHAnsi"/>
          <w:i/>
        </w:rPr>
        <w:t>For Komotini IP the earliest possible Gas Year is 2026/2027</w:t>
      </w:r>
      <w:r w:rsidR="005A28ED" w:rsidRPr="00B74333">
        <w:rPr>
          <w:rFonts w:cstheme="minorHAnsi"/>
          <w:i/>
        </w:rPr>
        <w:t>.</w:t>
      </w:r>
      <w:r w:rsidR="0038413F" w:rsidRPr="00B74333">
        <w:rPr>
          <w:rFonts w:cstheme="minorHAnsi"/>
          <w:i/>
        </w:rPr>
        <w:t xml:space="preserve"> For </w:t>
      </w:r>
      <w:r w:rsidR="008265BE" w:rsidRPr="00B74333">
        <w:rPr>
          <w:rFonts w:cstheme="minorHAnsi"/>
          <w:i/>
        </w:rPr>
        <w:t>all other IPs</w:t>
      </w:r>
      <w:r w:rsidR="00506BAF" w:rsidRPr="00B74333">
        <w:rPr>
          <w:rFonts w:cstheme="minorHAnsi"/>
          <w:i/>
        </w:rPr>
        <w:t xml:space="preserve"> and </w:t>
      </w:r>
      <w:r w:rsidR="00B06513" w:rsidRPr="00B74333">
        <w:rPr>
          <w:rFonts w:cstheme="minorHAnsi"/>
          <w:i/>
        </w:rPr>
        <w:t>entry point</w:t>
      </w:r>
      <w:r w:rsidR="00506BAF" w:rsidRPr="00B74333">
        <w:rPr>
          <w:rFonts w:cstheme="minorHAnsi"/>
          <w:i/>
        </w:rPr>
        <w:t>s</w:t>
      </w:r>
      <w:r w:rsidR="008265BE" w:rsidRPr="00B74333">
        <w:rPr>
          <w:rFonts w:cstheme="minorHAnsi"/>
          <w:i/>
        </w:rPr>
        <w:t xml:space="preserve"> the earliest </w:t>
      </w:r>
      <w:r w:rsidR="00506BAF" w:rsidRPr="00B74333">
        <w:rPr>
          <w:rFonts w:cstheme="minorHAnsi"/>
          <w:i/>
        </w:rPr>
        <w:t>possible</w:t>
      </w:r>
      <w:r w:rsidR="00CD776F" w:rsidRPr="00B74333">
        <w:rPr>
          <w:rFonts w:cstheme="minorHAnsi"/>
          <w:i/>
        </w:rPr>
        <w:t xml:space="preserve"> Gas Year is 2028/2029.</w:t>
      </w:r>
      <w:r w:rsidR="00506BAF" w:rsidRPr="00B74333">
        <w:rPr>
          <w:rFonts w:cstheme="minorHAnsi"/>
          <w:i/>
        </w:rPr>
        <w:t xml:space="preserve"> </w:t>
      </w:r>
    </w:p>
    <w:p w14:paraId="09AEC36B" w14:textId="5B371F93" w:rsidR="00C3037C" w:rsidRPr="00B74333" w:rsidRDefault="0038413F" w:rsidP="007B52CF">
      <w:pPr>
        <w:jc w:val="both"/>
        <w:rPr>
          <w:rFonts w:cstheme="minorHAnsi"/>
          <w:i/>
        </w:rPr>
      </w:pPr>
      <w:r w:rsidRPr="00B74333">
        <w:rPr>
          <w:rFonts w:cstheme="minorHAnsi"/>
          <w:i/>
        </w:rPr>
        <w:t>[4]</w:t>
      </w:r>
      <w:r w:rsidR="00CC5672" w:rsidRPr="00B74333">
        <w:rPr>
          <w:rFonts w:cstheme="minorHAnsi"/>
          <w:i/>
        </w:rPr>
        <w:t xml:space="preserve"> </w:t>
      </w:r>
      <w:r w:rsidR="00CD776F" w:rsidRPr="00B74333">
        <w:rPr>
          <w:rFonts w:cstheme="minorHAnsi"/>
          <w:i/>
        </w:rPr>
        <w:t>For Komotini IP the latest possible Gas Year is 2045/46</w:t>
      </w:r>
      <w:r w:rsidR="00394EA5" w:rsidRPr="00B74333">
        <w:rPr>
          <w:rFonts w:cstheme="minorHAnsi"/>
          <w:i/>
        </w:rPr>
        <w:t>.</w:t>
      </w:r>
    </w:p>
    <w:p w14:paraId="29513172" w14:textId="1152AFCB" w:rsidR="00BB67DB" w:rsidRPr="00B74333" w:rsidRDefault="00161D31" w:rsidP="007B52CF">
      <w:pPr>
        <w:jc w:val="both"/>
        <w:rPr>
          <w:rFonts w:cstheme="minorHAnsi"/>
          <w:i/>
        </w:rPr>
      </w:pPr>
      <w:r w:rsidRPr="00B74333">
        <w:rPr>
          <w:rFonts w:cstheme="minorHAnsi"/>
          <w:i/>
        </w:rPr>
        <w:t>[5]</w:t>
      </w:r>
      <w:r w:rsidR="002324E4" w:rsidRPr="00B74333">
        <w:rPr>
          <w:rFonts w:cstheme="minorHAnsi"/>
        </w:rPr>
        <w:t xml:space="preserve"> </w:t>
      </w:r>
      <w:r w:rsidR="002324E4" w:rsidRPr="00B74333">
        <w:rPr>
          <w:rFonts w:cstheme="minorHAnsi"/>
          <w:i/>
        </w:rPr>
        <w:t>Linked Bid means a bid where the Participant has indicated</w:t>
      </w:r>
      <w:r w:rsidR="0084546E" w:rsidRPr="00B74333">
        <w:rPr>
          <w:rFonts w:cstheme="minorHAnsi"/>
          <w:i/>
        </w:rPr>
        <w:t>, in column Entry/Exit Point</w:t>
      </w:r>
      <w:r w:rsidR="002946CB" w:rsidRPr="00B74333">
        <w:rPr>
          <w:rFonts w:cstheme="minorHAnsi"/>
          <w:i/>
        </w:rPr>
        <w:t>,</w:t>
      </w:r>
      <w:r w:rsidR="002324E4" w:rsidRPr="00B74333">
        <w:rPr>
          <w:rFonts w:cstheme="minorHAnsi"/>
          <w:i/>
        </w:rPr>
        <w:t xml:space="preserve"> that its binding request at a DESFA’s </w:t>
      </w:r>
      <w:r w:rsidR="00B06513" w:rsidRPr="00B74333">
        <w:rPr>
          <w:rFonts w:cstheme="minorHAnsi"/>
          <w:i/>
        </w:rPr>
        <w:t>entry point</w:t>
      </w:r>
      <w:r w:rsidR="002324E4" w:rsidRPr="00B74333">
        <w:rPr>
          <w:rFonts w:cstheme="minorHAnsi"/>
          <w:i/>
        </w:rPr>
        <w:t xml:space="preserve"> or IP</w:t>
      </w:r>
      <w:r w:rsidR="00820A91" w:rsidRPr="00B74333">
        <w:rPr>
          <w:rFonts w:cstheme="minorHAnsi"/>
          <w:i/>
        </w:rPr>
        <w:t xml:space="preserve"> (entry DESFA)</w:t>
      </w:r>
      <w:r w:rsidR="002324E4" w:rsidRPr="00B74333">
        <w:rPr>
          <w:rFonts w:cstheme="minorHAnsi"/>
          <w:i/>
        </w:rPr>
        <w:t xml:space="preserve"> is subject to allocation of an equal amount of capacity and duration at an IP</w:t>
      </w:r>
      <w:r w:rsidR="00820A91" w:rsidRPr="00B74333">
        <w:rPr>
          <w:rFonts w:cstheme="minorHAnsi"/>
          <w:i/>
        </w:rPr>
        <w:t xml:space="preserve"> (exit DESFA)</w:t>
      </w:r>
      <w:r w:rsidR="002324E4" w:rsidRPr="00B74333">
        <w:rPr>
          <w:rFonts w:cstheme="minorHAnsi"/>
          <w:i/>
        </w:rPr>
        <w:t>.</w:t>
      </w:r>
    </w:p>
    <w:p w14:paraId="4FD6B9CE" w14:textId="6AB86224" w:rsidR="00161D31" w:rsidRPr="00B74333" w:rsidRDefault="00161D31" w:rsidP="007B52CF">
      <w:pPr>
        <w:jc w:val="both"/>
        <w:rPr>
          <w:rFonts w:cstheme="minorHAnsi"/>
          <w:i/>
        </w:rPr>
      </w:pPr>
      <w:r w:rsidRPr="00B74333">
        <w:rPr>
          <w:rFonts w:cstheme="minorHAnsi"/>
          <w:i/>
        </w:rPr>
        <w:t>[6]</w:t>
      </w:r>
      <w:r w:rsidR="004D460E" w:rsidRPr="00B74333">
        <w:rPr>
          <w:rFonts w:cstheme="minorHAnsi"/>
        </w:rPr>
        <w:t xml:space="preserve"> </w:t>
      </w:r>
      <w:r w:rsidR="004D460E" w:rsidRPr="00B74333">
        <w:rPr>
          <w:rFonts w:cstheme="minorHAnsi"/>
          <w:i/>
        </w:rPr>
        <w:t>Coupled Capacity refers to the provision of natural gas transmission services in coupled points according to the provisions of chapter 2D of NNGS Network Code as in force from time to time.</w:t>
      </w:r>
    </w:p>
    <w:p w14:paraId="2A190A3A" w14:textId="77777777" w:rsidR="00161D31" w:rsidRPr="00B74333" w:rsidRDefault="00161D31" w:rsidP="007B52CF">
      <w:pPr>
        <w:jc w:val="both"/>
        <w:rPr>
          <w:rFonts w:cstheme="minorHAnsi"/>
          <w:i/>
        </w:rPr>
      </w:pPr>
    </w:p>
    <w:p w14:paraId="65F0F5E1" w14:textId="77777777" w:rsidR="00D849C6" w:rsidRPr="00B74333" w:rsidRDefault="00D849C6" w:rsidP="001A64A1">
      <w:pPr>
        <w:jc w:val="right"/>
        <w:rPr>
          <w:rFonts w:cstheme="minorHAnsi"/>
          <w:sz w:val="24"/>
          <w:szCs w:val="24"/>
        </w:rPr>
      </w:pPr>
    </w:p>
    <w:p w14:paraId="6815A6A8" w14:textId="49FC1940" w:rsidR="00D849C6" w:rsidRPr="00B74333" w:rsidRDefault="00D849C6" w:rsidP="00E56626">
      <w:pPr>
        <w:rPr>
          <w:rFonts w:cstheme="minorHAnsi"/>
        </w:rPr>
      </w:pPr>
      <w:r w:rsidRPr="00B74333">
        <w:rPr>
          <w:rFonts w:cstheme="minorHAnsi"/>
        </w:rPr>
        <w:t xml:space="preserve">[Place / date] </w:t>
      </w:r>
      <w:r w:rsidRPr="00B74333">
        <w:rPr>
          <w:rFonts w:cstheme="minorHAnsi"/>
        </w:rPr>
        <w:tab/>
      </w:r>
      <w:r w:rsidRPr="00B74333">
        <w:rPr>
          <w:rFonts w:cstheme="minorHAnsi"/>
        </w:rPr>
        <w:tab/>
      </w:r>
      <w:r w:rsidRPr="00B74333">
        <w:rPr>
          <w:rFonts w:cstheme="minorHAnsi"/>
        </w:rPr>
        <w:tab/>
      </w:r>
      <w:r w:rsidRPr="00B74333">
        <w:rPr>
          <w:rFonts w:cstheme="minorHAnsi"/>
        </w:rPr>
        <w:tab/>
      </w:r>
      <w:r w:rsidRPr="00B74333">
        <w:rPr>
          <w:rFonts w:cstheme="minorHAnsi"/>
        </w:rPr>
        <w:tab/>
      </w:r>
      <w:r w:rsidR="00E56626" w:rsidRPr="00B74333">
        <w:rPr>
          <w:rFonts w:cstheme="minorHAnsi"/>
        </w:rPr>
        <w:tab/>
        <w:t xml:space="preserve">        </w:t>
      </w:r>
      <w:proofErr w:type="gramStart"/>
      <w:r w:rsidR="00E56626" w:rsidRPr="00B74333">
        <w:rPr>
          <w:rFonts w:cstheme="minorHAnsi"/>
        </w:rPr>
        <w:t xml:space="preserve">   </w:t>
      </w:r>
      <w:r w:rsidRPr="00B74333">
        <w:rPr>
          <w:rFonts w:cstheme="minorHAnsi"/>
        </w:rPr>
        <w:t>[</w:t>
      </w:r>
      <w:proofErr w:type="gramEnd"/>
      <w:r w:rsidRPr="00B74333">
        <w:rPr>
          <w:rFonts w:cstheme="minorHAnsi"/>
        </w:rPr>
        <w:t xml:space="preserve">Stamp </w:t>
      </w:r>
      <w:r w:rsidR="00F714C9" w:rsidRPr="00B74333">
        <w:rPr>
          <w:rFonts w:cstheme="minorHAnsi"/>
        </w:rPr>
        <w:t xml:space="preserve">of the Company </w:t>
      </w:r>
      <w:r w:rsidRPr="00B74333">
        <w:rPr>
          <w:rFonts w:cstheme="minorHAnsi"/>
        </w:rPr>
        <w:t>and Signature]</w:t>
      </w:r>
    </w:p>
    <w:p w14:paraId="21A766C8" w14:textId="77777777" w:rsidR="004D6EE4" w:rsidRPr="00B74333" w:rsidRDefault="004D6EE4">
      <w:pPr>
        <w:rPr>
          <w:rFonts w:cstheme="minorHAnsi"/>
        </w:rPr>
      </w:pPr>
      <w:r w:rsidRPr="00B74333">
        <w:rPr>
          <w:rFonts w:cstheme="minorHAnsi"/>
        </w:rPr>
        <w:br w:type="page"/>
      </w:r>
    </w:p>
    <w:p w14:paraId="2E1EC1C7" w14:textId="0194D11B" w:rsidR="00D849C6" w:rsidRPr="00B74333" w:rsidRDefault="00D849C6" w:rsidP="000E44F5">
      <w:pPr>
        <w:pStyle w:val="Heading3"/>
        <w:pBdr>
          <w:bottom w:val="single" w:sz="4" w:space="1" w:color="auto"/>
        </w:pBdr>
        <w:rPr>
          <w:sz w:val="36"/>
          <w:szCs w:val="36"/>
        </w:rPr>
      </w:pPr>
      <w:bookmarkStart w:id="76" w:name="_Toc165465570"/>
      <w:r w:rsidRPr="00B74333">
        <w:rPr>
          <w:sz w:val="36"/>
          <w:szCs w:val="36"/>
        </w:rPr>
        <w:lastRenderedPageBreak/>
        <w:t xml:space="preserve">Annex </w:t>
      </w:r>
      <w:r w:rsidR="00954FE3" w:rsidRPr="00B74333">
        <w:rPr>
          <w:sz w:val="36"/>
          <w:szCs w:val="36"/>
        </w:rPr>
        <w:t>V</w:t>
      </w:r>
      <w:r w:rsidRPr="00B74333">
        <w:rPr>
          <w:sz w:val="36"/>
          <w:szCs w:val="36"/>
        </w:rPr>
        <w:t xml:space="preserve"> </w:t>
      </w:r>
      <w:r w:rsidR="005C5D58" w:rsidRPr="00B74333">
        <w:rPr>
          <w:sz w:val="36"/>
          <w:szCs w:val="36"/>
        </w:rPr>
        <w:t xml:space="preserve">- </w:t>
      </w:r>
      <w:r w:rsidRPr="00B74333">
        <w:rPr>
          <w:sz w:val="36"/>
          <w:szCs w:val="36"/>
        </w:rPr>
        <w:t>Binding Bid Guarantee Form</w:t>
      </w:r>
      <w:bookmarkEnd w:id="76"/>
    </w:p>
    <w:p w14:paraId="6CFCAED4" w14:textId="77777777" w:rsidR="00D849C6" w:rsidRPr="00B74333" w:rsidRDefault="00D849C6" w:rsidP="00D849C6">
      <w:pPr>
        <w:rPr>
          <w:rFonts w:cstheme="minorHAnsi"/>
        </w:rPr>
      </w:pPr>
    </w:p>
    <w:p w14:paraId="34CBFC6B" w14:textId="77777777" w:rsidR="00D849C6" w:rsidRPr="00B74333" w:rsidRDefault="00D849C6" w:rsidP="00205698">
      <w:pPr>
        <w:ind w:right="-477"/>
        <w:jc w:val="both"/>
        <w:rPr>
          <w:rFonts w:cstheme="minorHAnsi"/>
          <w:szCs w:val="24"/>
        </w:rPr>
      </w:pPr>
      <w:r w:rsidRPr="00B74333">
        <w:rPr>
          <w:rFonts w:cstheme="minorHAnsi"/>
          <w:szCs w:val="24"/>
        </w:rPr>
        <w:t>TO:</w:t>
      </w:r>
      <w:r w:rsidRPr="00B74333">
        <w:rPr>
          <w:rFonts w:cstheme="minorHAnsi"/>
          <w:szCs w:val="24"/>
        </w:rPr>
        <w:tab/>
        <w:t>HELLENIC GAS TRANSMISSION SYSTEM OPERATOR (DESFA) S.A.</w:t>
      </w:r>
    </w:p>
    <w:p w14:paraId="109F6306" w14:textId="77777777" w:rsidR="00D849C6" w:rsidRPr="00B74333" w:rsidRDefault="00D849C6" w:rsidP="00205698">
      <w:pPr>
        <w:ind w:right="-477"/>
        <w:jc w:val="both"/>
        <w:rPr>
          <w:rFonts w:cstheme="minorHAnsi"/>
          <w:szCs w:val="24"/>
        </w:rPr>
      </w:pPr>
      <w:r w:rsidRPr="00B74333">
        <w:rPr>
          <w:rFonts w:cstheme="minorHAnsi"/>
          <w:szCs w:val="24"/>
        </w:rPr>
        <w:tab/>
        <w:t>357-359 MESSOGION AVE.</w:t>
      </w:r>
    </w:p>
    <w:p w14:paraId="4DA6A1F7" w14:textId="77777777" w:rsidR="00D849C6" w:rsidRPr="00B74333" w:rsidRDefault="00D849C6" w:rsidP="00205698">
      <w:pPr>
        <w:ind w:right="-477"/>
        <w:jc w:val="both"/>
        <w:rPr>
          <w:rFonts w:cstheme="minorHAnsi"/>
          <w:szCs w:val="24"/>
        </w:rPr>
      </w:pPr>
      <w:r w:rsidRPr="00B74333">
        <w:rPr>
          <w:rFonts w:cstheme="minorHAnsi"/>
          <w:szCs w:val="24"/>
        </w:rPr>
        <w:tab/>
        <w:t xml:space="preserve">152 31 HALANDRI </w:t>
      </w:r>
    </w:p>
    <w:p w14:paraId="0CA050D5" w14:textId="77777777" w:rsidR="00D849C6" w:rsidRPr="00B74333" w:rsidRDefault="00D849C6" w:rsidP="00205698">
      <w:pPr>
        <w:ind w:right="-477"/>
        <w:jc w:val="both"/>
        <w:rPr>
          <w:rFonts w:cstheme="minorHAnsi"/>
          <w:szCs w:val="24"/>
        </w:rPr>
      </w:pPr>
      <w:r w:rsidRPr="00B74333">
        <w:rPr>
          <w:rFonts w:cstheme="minorHAnsi"/>
          <w:szCs w:val="24"/>
        </w:rPr>
        <w:tab/>
        <w:t>GREECE</w:t>
      </w:r>
    </w:p>
    <w:p w14:paraId="7D49B585" w14:textId="77777777" w:rsidR="00D849C6" w:rsidRPr="00B74333" w:rsidRDefault="00D849C6" w:rsidP="00205698">
      <w:pPr>
        <w:ind w:right="-477"/>
        <w:jc w:val="both"/>
        <w:rPr>
          <w:rFonts w:cstheme="minorHAnsi"/>
          <w:szCs w:val="24"/>
        </w:rPr>
      </w:pPr>
    </w:p>
    <w:p w14:paraId="0FC5ADB9" w14:textId="77777777" w:rsidR="00D849C6" w:rsidRPr="00B74333" w:rsidRDefault="00D849C6" w:rsidP="00205698">
      <w:pPr>
        <w:ind w:right="-477"/>
        <w:jc w:val="both"/>
        <w:rPr>
          <w:rFonts w:cstheme="minorHAnsi"/>
          <w:szCs w:val="24"/>
        </w:rPr>
      </w:pPr>
      <w:r w:rsidRPr="00B74333">
        <w:rPr>
          <w:rFonts w:cstheme="minorHAnsi"/>
          <w:szCs w:val="24"/>
        </w:rPr>
        <w:t>LETTER OF GUARANTEE No.</w:t>
      </w:r>
      <w:r w:rsidRPr="00B74333">
        <w:rPr>
          <w:rFonts w:cstheme="minorHAnsi"/>
          <w:szCs w:val="24"/>
        </w:rPr>
        <w:tab/>
        <w:t>:</w:t>
      </w:r>
      <w:r w:rsidRPr="00B74333">
        <w:rPr>
          <w:rFonts w:cstheme="minorHAnsi"/>
          <w:szCs w:val="24"/>
        </w:rPr>
        <w:tab/>
        <w:t>………………………………………………</w:t>
      </w:r>
      <w:proofErr w:type="gramStart"/>
      <w:r w:rsidRPr="00B74333">
        <w:rPr>
          <w:rFonts w:cstheme="minorHAnsi"/>
          <w:szCs w:val="24"/>
        </w:rPr>
        <w:t>…..</w:t>
      </w:r>
      <w:proofErr w:type="gramEnd"/>
    </w:p>
    <w:p w14:paraId="2DA6562B" w14:textId="77777777" w:rsidR="00D849C6" w:rsidRPr="00B74333" w:rsidRDefault="00D849C6" w:rsidP="00205698">
      <w:pPr>
        <w:ind w:right="-477"/>
        <w:jc w:val="both"/>
        <w:rPr>
          <w:rFonts w:cstheme="minorHAnsi"/>
          <w:szCs w:val="24"/>
        </w:rPr>
      </w:pPr>
      <w:r w:rsidRPr="00B74333">
        <w:rPr>
          <w:rFonts w:cstheme="minorHAnsi"/>
          <w:szCs w:val="24"/>
        </w:rPr>
        <w:t>DATE</w:t>
      </w:r>
      <w:r w:rsidRPr="00B74333">
        <w:rPr>
          <w:rFonts w:cstheme="minorHAnsi"/>
          <w:szCs w:val="24"/>
        </w:rPr>
        <w:tab/>
        <w:t>:</w:t>
      </w:r>
      <w:r w:rsidRPr="00B74333">
        <w:rPr>
          <w:rFonts w:cstheme="minorHAnsi"/>
          <w:szCs w:val="24"/>
        </w:rPr>
        <w:tab/>
        <w:t>……………………………………………………</w:t>
      </w:r>
    </w:p>
    <w:p w14:paraId="61447FCB" w14:textId="77777777" w:rsidR="00D849C6" w:rsidRPr="00B74333" w:rsidRDefault="00D849C6" w:rsidP="00205698">
      <w:pPr>
        <w:ind w:right="-477"/>
        <w:jc w:val="both"/>
        <w:rPr>
          <w:rFonts w:cstheme="minorHAnsi"/>
          <w:szCs w:val="24"/>
        </w:rPr>
      </w:pPr>
    </w:p>
    <w:p w14:paraId="1BE77639" w14:textId="77777777" w:rsidR="00D849C6" w:rsidRPr="00B74333" w:rsidRDefault="00D849C6" w:rsidP="00205698">
      <w:pPr>
        <w:ind w:right="-477"/>
        <w:jc w:val="both"/>
        <w:rPr>
          <w:rFonts w:cstheme="minorHAnsi"/>
          <w:szCs w:val="24"/>
        </w:rPr>
      </w:pPr>
      <w:r w:rsidRPr="00B74333">
        <w:rPr>
          <w:rFonts w:cstheme="minorHAnsi"/>
          <w:szCs w:val="24"/>
        </w:rPr>
        <w:t>Dear Sirs,</w:t>
      </w:r>
    </w:p>
    <w:p w14:paraId="19AF3CA1" w14:textId="77777777" w:rsidR="00D849C6" w:rsidRPr="00B74333" w:rsidRDefault="00D849C6" w:rsidP="00205698">
      <w:pPr>
        <w:ind w:right="-477"/>
        <w:jc w:val="both"/>
        <w:rPr>
          <w:rFonts w:cstheme="minorHAnsi"/>
          <w:szCs w:val="24"/>
        </w:rPr>
      </w:pPr>
    </w:p>
    <w:p w14:paraId="72B5B0BF" w14:textId="778C3A07" w:rsidR="00D849C6" w:rsidRPr="00B74333" w:rsidRDefault="00D849C6" w:rsidP="00205698">
      <w:pPr>
        <w:ind w:right="-477"/>
        <w:jc w:val="both"/>
        <w:rPr>
          <w:rFonts w:cstheme="minorHAnsi"/>
          <w:szCs w:val="24"/>
        </w:rPr>
      </w:pPr>
      <w:r w:rsidRPr="00B74333">
        <w:rPr>
          <w:rFonts w:cstheme="minorHAnsi"/>
          <w:szCs w:val="24"/>
        </w:rPr>
        <w:t xml:space="preserve">We beg to inform you that, waiving expressly and unreservedly all benefits and rights deriving from Articles </w:t>
      </w:r>
      <w:r w:rsidR="00A6352F" w:rsidRPr="00B74333">
        <w:rPr>
          <w:rFonts w:cstheme="minorHAnsi"/>
          <w:szCs w:val="24"/>
        </w:rPr>
        <w:t xml:space="preserve">853, 855 et seq. and 866 </w:t>
      </w:r>
      <w:r w:rsidRPr="00B74333">
        <w:rPr>
          <w:rFonts w:cstheme="minorHAnsi"/>
          <w:szCs w:val="24"/>
        </w:rPr>
        <w:t>of the Greek Civil Code, we hereby expressly, irrevocably and unreservedly guarantee as direct debtor in favor of your Participant (a)……………………………………………………………………………………………………………</w:t>
      </w:r>
    </w:p>
    <w:p w14:paraId="3F4A7B6F" w14:textId="77777777" w:rsidR="00D849C6" w:rsidRPr="00B74333" w:rsidRDefault="00D849C6" w:rsidP="00205698">
      <w:pPr>
        <w:ind w:right="-477"/>
        <w:jc w:val="both"/>
        <w:rPr>
          <w:rFonts w:cstheme="minorHAnsi"/>
          <w:szCs w:val="24"/>
        </w:rPr>
      </w:pPr>
      <w:r w:rsidRPr="00B74333">
        <w:rPr>
          <w:rFonts w:cstheme="minorHAnsi"/>
          <w:szCs w:val="24"/>
        </w:rPr>
        <w:t>Having its seat in (b)……………………………………………………………………………………………………….</w:t>
      </w:r>
    </w:p>
    <w:p w14:paraId="276E2878" w14:textId="77777777" w:rsidR="00D849C6" w:rsidRPr="00B74333" w:rsidRDefault="00D849C6" w:rsidP="00205698">
      <w:pPr>
        <w:ind w:right="-477"/>
        <w:jc w:val="both"/>
        <w:rPr>
          <w:rFonts w:cstheme="minorHAnsi"/>
          <w:szCs w:val="24"/>
        </w:rPr>
      </w:pPr>
      <w:r w:rsidRPr="00B74333">
        <w:rPr>
          <w:rFonts w:cstheme="minorHAnsi"/>
          <w:szCs w:val="24"/>
        </w:rPr>
        <w:t>Up to the sum of (c)…………………………………………………………………………………………………………</w:t>
      </w:r>
    </w:p>
    <w:p w14:paraId="48134096" w14:textId="2C6A90FA" w:rsidR="00D849C6" w:rsidRPr="00B74333" w:rsidRDefault="00D849C6" w:rsidP="00205698">
      <w:pPr>
        <w:ind w:right="-477"/>
        <w:jc w:val="both"/>
        <w:rPr>
          <w:rFonts w:cstheme="minorHAnsi"/>
          <w:szCs w:val="24"/>
        </w:rPr>
      </w:pPr>
      <w:r w:rsidRPr="00B74333">
        <w:rPr>
          <w:rFonts w:cstheme="minorHAnsi"/>
          <w:szCs w:val="24"/>
        </w:rPr>
        <w:t>For the participation of said Participant in the Binding Bid</w:t>
      </w:r>
      <w:r w:rsidR="008F3871" w:rsidRPr="00B74333">
        <w:rPr>
          <w:rFonts w:cstheme="minorHAnsi"/>
          <w:szCs w:val="24"/>
        </w:rPr>
        <w:t>d</w:t>
      </w:r>
      <w:r w:rsidRPr="00B74333">
        <w:rPr>
          <w:rFonts w:cstheme="minorHAnsi"/>
          <w:szCs w:val="24"/>
        </w:rPr>
        <w:t xml:space="preserve">ing Phase having a Binding </w:t>
      </w:r>
      <w:r w:rsidR="004D433B" w:rsidRPr="00B74333">
        <w:rPr>
          <w:rFonts w:cstheme="minorHAnsi"/>
          <w:szCs w:val="24"/>
        </w:rPr>
        <w:t xml:space="preserve">Bid </w:t>
      </w:r>
      <w:r w:rsidRPr="00B74333">
        <w:rPr>
          <w:rFonts w:cstheme="minorHAnsi"/>
          <w:szCs w:val="24"/>
        </w:rPr>
        <w:t xml:space="preserve">Deadline (DAY - MONTH) …………………………………………………………………………… of (YEAR) (d) ……………………………………… in </w:t>
      </w:r>
      <w:r w:rsidR="00CB2463" w:rsidRPr="00B74333">
        <w:rPr>
          <w:rFonts w:cstheme="minorHAnsi"/>
          <w:szCs w:val="24"/>
        </w:rPr>
        <w:t>the context of the Market Test Process</w:t>
      </w:r>
      <w:r w:rsidRPr="00B74333">
        <w:rPr>
          <w:rFonts w:cstheme="minorHAnsi"/>
          <w:szCs w:val="24"/>
        </w:rPr>
        <w:t xml:space="preserve">.  The terms used in this Letter of Guarantee shall, save where the context otherwise requires, have the meanings given in the </w:t>
      </w:r>
      <w:r w:rsidR="006E7DAF" w:rsidRPr="00B74333">
        <w:rPr>
          <w:rFonts w:cstheme="minorHAnsi"/>
          <w:szCs w:val="24"/>
        </w:rPr>
        <w:t>Guidelines</w:t>
      </w:r>
      <w:r w:rsidR="008B0617" w:rsidRPr="00B74333">
        <w:rPr>
          <w:rFonts w:cstheme="minorHAnsi"/>
          <w:szCs w:val="24"/>
        </w:rPr>
        <w:t>,</w:t>
      </w:r>
      <w:r w:rsidR="006E7DAF" w:rsidRPr="00B74333">
        <w:rPr>
          <w:rFonts w:cstheme="minorHAnsi"/>
          <w:szCs w:val="24"/>
        </w:rPr>
        <w:t xml:space="preserve"> the </w:t>
      </w:r>
      <w:r w:rsidRPr="00B74333">
        <w:rPr>
          <w:rFonts w:cstheme="minorHAnsi"/>
          <w:szCs w:val="24"/>
        </w:rPr>
        <w:t xml:space="preserve">Project </w:t>
      </w:r>
      <w:proofErr w:type="gramStart"/>
      <w:r w:rsidRPr="00B74333">
        <w:rPr>
          <w:rFonts w:cstheme="minorHAnsi"/>
          <w:szCs w:val="24"/>
        </w:rPr>
        <w:t>Proposal</w:t>
      </w:r>
      <w:r w:rsidR="006E7DAF" w:rsidRPr="00B74333">
        <w:rPr>
          <w:rFonts w:cstheme="minorHAnsi"/>
          <w:szCs w:val="24"/>
        </w:rPr>
        <w:t>s</w:t>
      </w:r>
      <w:proofErr w:type="gramEnd"/>
      <w:r w:rsidR="008B0617" w:rsidRPr="00B74333">
        <w:rPr>
          <w:rFonts w:cstheme="minorHAnsi"/>
          <w:szCs w:val="24"/>
        </w:rPr>
        <w:t xml:space="preserve"> and the Binding Phase Notice</w:t>
      </w:r>
      <w:r w:rsidRPr="00B74333">
        <w:rPr>
          <w:rFonts w:cstheme="minorHAnsi"/>
          <w:szCs w:val="24"/>
        </w:rPr>
        <w:t>.</w:t>
      </w:r>
    </w:p>
    <w:p w14:paraId="41EF9C1F" w14:textId="0171BCF8" w:rsidR="00D849C6" w:rsidRPr="00B74333" w:rsidRDefault="00D849C6" w:rsidP="00205698">
      <w:pPr>
        <w:ind w:right="-477"/>
        <w:jc w:val="both"/>
        <w:rPr>
          <w:rFonts w:cstheme="minorHAnsi"/>
          <w:szCs w:val="24"/>
        </w:rPr>
      </w:pPr>
      <w:r w:rsidRPr="00B74333">
        <w:rPr>
          <w:rFonts w:cstheme="minorHAnsi"/>
          <w:szCs w:val="24"/>
        </w:rPr>
        <w:t xml:space="preserve">The above Guarantee refers to all the obligations deriving from the participation in the </w:t>
      </w:r>
      <w:proofErr w:type="gramStart"/>
      <w:r w:rsidRPr="00B74333">
        <w:rPr>
          <w:rFonts w:cstheme="minorHAnsi"/>
          <w:szCs w:val="24"/>
        </w:rPr>
        <w:t>aforementioned Binding</w:t>
      </w:r>
      <w:proofErr w:type="gramEnd"/>
      <w:r w:rsidRPr="00B74333">
        <w:rPr>
          <w:rFonts w:cstheme="minorHAnsi"/>
          <w:szCs w:val="24"/>
        </w:rPr>
        <w:t xml:space="preserve"> Biding Phase up to the signing of the relative Gas Transportation Agreement by </w:t>
      </w:r>
      <w:r w:rsidR="00AD39A3" w:rsidRPr="00B74333">
        <w:rPr>
          <w:rFonts w:cstheme="minorHAnsi"/>
          <w:szCs w:val="24"/>
        </w:rPr>
        <w:t xml:space="preserve">the </w:t>
      </w:r>
      <w:r w:rsidRPr="00B74333">
        <w:rPr>
          <w:rFonts w:cstheme="minorHAnsi"/>
          <w:szCs w:val="24"/>
        </w:rPr>
        <w:t xml:space="preserve">Participant in accordance with the provisions of the above </w:t>
      </w:r>
      <w:r w:rsidR="00235969" w:rsidRPr="00B74333">
        <w:rPr>
          <w:rFonts w:cstheme="minorHAnsi"/>
          <w:szCs w:val="24"/>
        </w:rPr>
        <w:t>Guidelines</w:t>
      </w:r>
      <w:r w:rsidR="00DE7360" w:rsidRPr="00B74333">
        <w:rPr>
          <w:rFonts w:cstheme="minorHAnsi"/>
          <w:szCs w:val="24"/>
        </w:rPr>
        <w:t>,</w:t>
      </w:r>
      <w:r w:rsidR="00AD39A3" w:rsidRPr="00B74333">
        <w:rPr>
          <w:rFonts w:cstheme="minorHAnsi"/>
          <w:szCs w:val="24"/>
        </w:rPr>
        <w:t xml:space="preserve"> </w:t>
      </w:r>
      <w:r w:rsidR="009A1A07" w:rsidRPr="00B74333">
        <w:rPr>
          <w:rFonts w:cstheme="minorHAnsi"/>
          <w:szCs w:val="24"/>
        </w:rPr>
        <w:t xml:space="preserve">the </w:t>
      </w:r>
      <w:r w:rsidRPr="00B74333">
        <w:rPr>
          <w:rFonts w:cstheme="minorHAnsi"/>
          <w:szCs w:val="24"/>
        </w:rPr>
        <w:t>Project Proposal</w:t>
      </w:r>
      <w:r w:rsidR="00235969" w:rsidRPr="00B74333">
        <w:rPr>
          <w:rFonts w:cstheme="minorHAnsi"/>
          <w:szCs w:val="24"/>
        </w:rPr>
        <w:t>s</w:t>
      </w:r>
      <w:r w:rsidR="00DE7360" w:rsidRPr="00B74333">
        <w:rPr>
          <w:rFonts w:cstheme="minorHAnsi"/>
          <w:szCs w:val="24"/>
        </w:rPr>
        <w:t xml:space="preserve"> and the Binding Phase Notice</w:t>
      </w:r>
      <w:r w:rsidRPr="00B74333">
        <w:rPr>
          <w:rFonts w:cstheme="minorHAnsi"/>
          <w:szCs w:val="24"/>
        </w:rPr>
        <w:t>.</w:t>
      </w:r>
    </w:p>
    <w:p w14:paraId="18375A42" w14:textId="2F719F3D" w:rsidR="00D849C6" w:rsidRPr="00B74333" w:rsidRDefault="00D849C6" w:rsidP="00205698">
      <w:pPr>
        <w:ind w:right="-477"/>
        <w:jc w:val="both"/>
        <w:rPr>
          <w:rFonts w:cstheme="minorHAnsi"/>
          <w:szCs w:val="24"/>
        </w:rPr>
      </w:pPr>
      <w:r w:rsidRPr="00B74333">
        <w:rPr>
          <w:rFonts w:cstheme="minorHAnsi"/>
          <w:szCs w:val="24"/>
        </w:rPr>
        <w:t>In the event, as a consequence of the above Guarantee, you will decide that the said Participant is in default with regard to any obligation assumed by him in connection with his participation in the above Binding Bid</w:t>
      </w:r>
      <w:r w:rsidR="008F3871" w:rsidRPr="00B74333">
        <w:rPr>
          <w:rFonts w:cstheme="minorHAnsi"/>
          <w:szCs w:val="24"/>
        </w:rPr>
        <w:t>d</w:t>
      </w:r>
      <w:r w:rsidRPr="00B74333">
        <w:rPr>
          <w:rFonts w:cstheme="minorHAnsi"/>
          <w:szCs w:val="24"/>
        </w:rPr>
        <w:t>ing Phase, we are hereby assuming the obligation to pay forthwith to you, on first demand, without any objection whatsoever, the guaranteed sum according to your instruction and within</w:t>
      </w:r>
      <w:r w:rsidR="00E20D99" w:rsidRPr="00B74333">
        <w:rPr>
          <w:rFonts w:cstheme="minorHAnsi"/>
          <w:szCs w:val="24"/>
        </w:rPr>
        <w:t xml:space="preserve"> 3</w:t>
      </w:r>
      <w:r w:rsidRPr="00B74333">
        <w:rPr>
          <w:rFonts w:cstheme="minorHAnsi"/>
          <w:szCs w:val="24"/>
        </w:rPr>
        <w:t xml:space="preserve"> </w:t>
      </w:r>
      <w:r w:rsidR="00E20D99" w:rsidRPr="00B74333">
        <w:rPr>
          <w:rFonts w:cstheme="minorHAnsi"/>
          <w:szCs w:val="24"/>
        </w:rPr>
        <w:t>(</w:t>
      </w:r>
      <w:r w:rsidRPr="00B74333">
        <w:rPr>
          <w:rFonts w:cstheme="minorHAnsi"/>
          <w:szCs w:val="24"/>
        </w:rPr>
        <w:t>three</w:t>
      </w:r>
      <w:r w:rsidR="00E20D99" w:rsidRPr="00B74333">
        <w:rPr>
          <w:rFonts w:cstheme="minorHAnsi"/>
          <w:szCs w:val="24"/>
        </w:rPr>
        <w:t>)</w:t>
      </w:r>
      <w:r w:rsidRPr="00B74333">
        <w:rPr>
          <w:rFonts w:cstheme="minorHAnsi"/>
          <w:szCs w:val="24"/>
        </w:rPr>
        <w:t xml:space="preserve"> working days upon your simple demand, without any authorization, action or consent of the Participant hereinabove mentioned being required for such payment, nor any opposition, exception, objection by above Participant</w:t>
      </w:r>
      <w:r w:rsidR="00530A39" w:rsidRPr="00B74333">
        <w:rPr>
          <w:rFonts w:cstheme="minorHAnsi"/>
          <w:szCs w:val="24"/>
        </w:rPr>
        <w:t xml:space="preserve"> or of any third part</w:t>
      </w:r>
      <w:r w:rsidRPr="00B74333">
        <w:rPr>
          <w:rFonts w:cstheme="minorHAnsi"/>
          <w:szCs w:val="24"/>
        </w:rPr>
        <w:t>. DESFA shall not be incurred with taxes, levies or any charge related to a call on this Letter of Guarantee.</w:t>
      </w:r>
    </w:p>
    <w:p w14:paraId="56175C9E" w14:textId="41BC10FD" w:rsidR="00D849C6" w:rsidRPr="00B74333" w:rsidRDefault="00D849C6" w:rsidP="00205698">
      <w:pPr>
        <w:ind w:right="-477"/>
        <w:jc w:val="both"/>
        <w:rPr>
          <w:rFonts w:cstheme="minorHAnsi"/>
          <w:szCs w:val="24"/>
        </w:rPr>
      </w:pPr>
      <w:r w:rsidRPr="00B74333">
        <w:rPr>
          <w:rFonts w:cstheme="minorHAnsi"/>
          <w:szCs w:val="24"/>
        </w:rPr>
        <w:lastRenderedPageBreak/>
        <w:t xml:space="preserve">We further declare that our present guarantee shall remain in full force and effect, until </w:t>
      </w:r>
      <w:r w:rsidR="007D53A7" w:rsidRPr="00B74333">
        <w:rPr>
          <w:rFonts w:cstheme="minorHAnsi"/>
          <w:szCs w:val="24"/>
        </w:rPr>
        <w:t>3</w:t>
      </w:r>
      <w:r w:rsidR="00650A83" w:rsidRPr="00B74333">
        <w:rPr>
          <w:rFonts w:cstheme="minorHAnsi"/>
          <w:szCs w:val="24"/>
        </w:rPr>
        <w:t>0</w:t>
      </w:r>
      <w:r w:rsidR="007D53A7" w:rsidRPr="00B74333">
        <w:rPr>
          <w:rFonts w:cstheme="minorHAnsi"/>
          <w:szCs w:val="24"/>
        </w:rPr>
        <w:t>.</w:t>
      </w:r>
      <w:r w:rsidR="00650A83" w:rsidRPr="00B74333">
        <w:rPr>
          <w:rFonts w:cstheme="minorHAnsi"/>
          <w:szCs w:val="24"/>
        </w:rPr>
        <w:t>11</w:t>
      </w:r>
      <w:r w:rsidR="007D53A7" w:rsidRPr="00B74333">
        <w:rPr>
          <w:rFonts w:cstheme="minorHAnsi"/>
          <w:szCs w:val="24"/>
        </w:rPr>
        <w:t>.2024</w:t>
      </w:r>
      <w:r w:rsidR="00686CB2" w:rsidRPr="00B74333">
        <w:rPr>
          <w:rFonts w:cstheme="minorHAnsi"/>
          <w:szCs w:val="24"/>
        </w:rPr>
        <w:t xml:space="preserve"> past this deadline and </w:t>
      </w:r>
      <w:proofErr w:type="gramStart"/>
      <w:r w:rsidR="00686CB2" w:rsidRPr="00B74333">
        <w:rPr>
          <w:rFonts w:cstheme="minorHAnsi"/>
          <w:szCs w:val="24"/>
        </w:rPr>
        <w:t>provided that</w:t>
      </w:r>
      <w:proofErr w:type="gramEnd"/>
      <w:r w:rsidR="00686CB2" w:rsidRPr="00B74333">
        <w:rPr>
          <w:rFonts w:cstheme="minorHAnsi"/>
          <w:szCs w:val="24"/>
        </w:rPr>
        <w:t xml:space="preserve"> we have not been made aware of any claims by you over the amount of the guarantee, as mentioned above, this letter of guarantee shall automatically become null and void. </w:t>
      </w:r>
    </w:p>
    <w:p w14:paraId="61EF9711" w14:textId="77777777" w:rsidR="00D849C6" w:rsidRPr="00B74333" w:rsidRDefault="00D849C6" w:rsidP="00D849C6">
      <w:pPr>
        <w:ind w:right="-477"/>
        <w:jc w:val="both"/>
        <w:rPr>
          <w:rFonts w:cstheme="minorHAnsi"/>
          <w:szCs w:val="24"/>
        </w:rPr>
      </w:pPr>
      <w:r w:rsidRPr="00B74333">
        <w:rPr>
          <w:rFonts w:cstheme="minorHAnsi"/>
          <w:szCs w:val="24"/>
        </w:rPr>
        <w:t>We also certify that all letters of guarantee that have been issued by us and are in force, including also present Letter of Guarantee, doesn’t exceed the upper limit for our Bank regarding the provision of guarantees, stipulated by the applicable legislation.</w:t>
      </w:r>
    </w:p>
    <w:p w14:paraId="3F8358D8" w14:textId="77777777" w:rsidR="00D849C6" w:rsidRPr="00B74333" w:rsidRDefault="00D849C6" w:rsidP="00D849C6">
      <w:pPr>
        <w:ind w:right="-477"/>
        <w:jc w:val="both"/>
        <w:rPr>
          <w:rFonts w:cstheme="minorHAnsi"/>
          <w:szCs w:val="24"/>
        </w:rPr>
      </w:pPr>
      <w:r w:rsidRPr="00B74333">
        <w:rPr>
          <w:rFonts w:cstheme="minorHAnsi"/>
          <w:szCs w:val="24"/>
        </w:rPr>
        <w:t>The present letter of guarantee shall be governed by the Greek Law; the Courts of Athens are exclusively competent to resolve any conflict arising therefrom.</w:t>
      </w:r>
    </w:p>
    <w:p w14:paraId="2CF41F00" w14:textId="77777777" w:rsidR="00D849C6" w:rsidRPr="00B74333" w:rsidRDefault="00D849C6" w:rsidP="008E02B2">
      <w:pPr>
        <w:ind w:right="-477"/>
        <w:jc w:val="both"/>
        <w:rPr>
          <w:rFonts w:cstheme="minorHAnsi"/>
          <w:szCs w:val="24"/>
        </w:rPr>
      </w:pPr>
    </w:p>
    <w:p w14:paraId="2C56163F" w14:textId="77777777" w:rsidR="00D849C6" w:rsidRPr="00B74333" w:rsidRDefault="00D849C6" w:rsidP="008E02B2">
      <w:pPr>
        <w:ind w:right="-477"/>
        <w:jc w:val="both"/>
        <w:rPr>
          <w:rFonts w:cstheme="minorHAnsi"/>
          <w:szCs w:val="24"/>
        </w:rPr>
      </w:pPr>
    </w:p>
    <w:p w14:paraId="7DA04128" w14:textId="77777777" w:rsidR="00B75340" w:rsidRPr="00B74333" w:rsidRDefault="00B75340" w:rsidP="008E02B2">
      <w:pPr>
        <w:ind w:right="-477"/>
        <w:jc w:val="both"/>
        <w:rPr>
          <w:rFonts w:cstheme="minorHAnsi"/>
          <w:szCs w:val="24"/>
        </w:rPr>
      </w:pPr>
    </w:p>
    <w:p w14:paraId="07F0864F" w14:textId="77777777" w:rsidR="00205691" w:rsidRPr="00B74333" w:rsidRDefault="00205691" w:rsidP="00205691">
      <w:pPr>
        <w:ind w:right="-477"/>
        <w:jc w:val="both"/>
        <w:rPr>
          <w:rFonts w:cstheme="minorHAnsi"/>
          <w:i/>
          <w:sz w:val="24"/>
          <w:szCs w:val="24"/>
        </w:rPr>
      </w:pPr>
      <w:r w:rsidRPr="00B74333">
        <w:rPr>
          <w:rFonts w:cstheme="minorHAnsi"/>
          <w:i/>
          <w:sz w:val="24"/>
          <w:szCs w:val="24"/>
        </w:rPr>
        <w:t>[name of issuing bank],</w:t>
      </w:r>
    </w:p>
    <w:p w14:paraId="315D3208" w14:textId="77777777" w:rsidR="00205691" w:rsidRPr="00B74333" w:rsidRDefault="00205691" w:rsidP="00205691">
      <w:pPr>
        <w:ind w:right="-477"/>
        <w:jc w:val="both"/>
        <w:rPr>
          <w:rFonts w:cstheme="minorHAnsi"/>
          <w:sz w:val="24"/>
          <w:szCs w:val="24"/>
        </w:rPr>
      </w:pPr>
      <w:r w:rsidRPr="00B74333">
        <w:rPr>
          <w:rFonts w:cstheme="minorHAnsi"/>
          <w:sz w:val="24"/>
          <w:szCs w:val="24"/>
        </w:rPr>
        <w:t>In witness whereof, this Guarantee has been executed and delivered as a deed on the above-mentioned date.</w:t>
      </w:r>
    </w:p>
    <w:p w14:paraId="5F55329F" w14:textId="77777777" w:rsidR="000F1AC8" w:rsidRPr="00B74333" w:rsidRDefault="000F1AC8" w:rsidP="008E02B2">
      <w:pPr>
        <w:ind w:right="-477"/>
        <w:jc w:val="both"/>
        <w:rPr>
          <w:rFonts w:cstheme="minorHAnsi"/>
          <w:szCs w:val="24"/>
        </w:rPr>
      </w:pPr>
    </w:p>
    <w:p w14:paraId="6283F62B" w14:textId="77777777" w:rsidR="00D849C6" w:rsidRPr="00B74333" w:rsidRDefault="00D849C6" w:rsidP="008E02B2">
      <w:pPr>
        <w:ind w:right="-477"/>
        <w:jc w:val="both"/>
        <w:rPr>
          <w:rFonts w:cstheme="minorHAnsi"/>
          <w:szCs w:val="24"/>
        </w:rPr>
      </w:pPr>
      <w:r w:rsidRPr="00B74333">
        <w:rPr>
          <w:rFonts w:cstheme="minorHAnsi"/>
          <w:szCs w:val="24"/>
        </w:rPr>
        <w:t xml:space="preserve">Note: </w:t>
      </w:r>
      <w:r w:rsidRPr="00B74333">
        <w:rPr>
          <w:rFonts w:cstheme="minorHAnsi"/>
          <w:szCs w:val="24"/>
        </w:rPr>
        <w:tab/>
        <w:t>On blank spaces to be inserted:</w:t>
      </w:r>
    </w:p>
    <w:tbl>
      <w:tblPr>
        <w:tblW w:w="9606" w:type="dxa"/>
        <w:tblLook w:val="04A0" w:firstRow="1" w:lastRow="0" w:firstColumn="1" w:lastColumn="0" w:noHBand="0" w:noVBand="1"/>
      </w:tblPr>
      <w:tblGrid>
        <w:gridCol w:w="769"/>
        <w:gridCol w:w="8837"/>
      </w:tblGrid>
      <w:tr w:rsidR="00D849C6" w:rsidRPr="00B74333" w14:paraId="70BE9469" w14:textId="77777777" w:rsidTr="00FD0F06">
        <w:tc>
          <w:tcPr>
            <w:tcW w:w="769" w:type="dxa"/>
            <w:shd w:val="clear" w:color="auto" w:fill="auto"/>
          </w:tcPr>
          <w:p w14:paraId="7B87CBD9" w14:textId="77777777" w:rsidR="00D849C6" w:rsidRPr="00B74333" w:rsidRDefault="00D849C6" w:rsidP="008E02B2">
            <w:pPr>
              <w:ind w:right="-477"/>
              <w:jc w:val="both"/>
              <w:rPr>
                <w:rFonts w:cstheme="minorHAnsi"/>
                <w:szCs w:val="24"/>
              </w:rPr>
            </w:pPr>
            <w:r w:rsidRPr="00B74333">
              <w:rPr>
                <w:rFonts w:cstheme="minorHAnsi"/>
                <w:szCs w:val="24"/>
              </w:rPr>
              <w:t>a.</w:t>
            </w:r>
          </w:p>
        </w:tc>
        <w:tc>
          <w:tcPr>
            <w:tcW w:w="8837" w:type="dxa"/>
            <w:shd w:val="clear" w:color="auto" w:fill="auto"/>
          </w:tcPr>
          <w:p w14:paraId="23A44A2E" w14:textId="77777777" w:rsidR="00D849C6" w:rsidRPr="00B74333" w:rsidRDefault="00D849C6" w:rsidP="008E02B2">
            <w:pPr>
              <w:ind w:right="-477"/>
              <w:jc w:val="both"/>
              <w:rPr>
                <w:rFonts w:cstheme="minorHAnsi"/>
                <w:szCs w:val="24"/>
              </w:rPr>
            </w:pPr>
            <w:r w:rsidRPr="00B74333">
              <w:rPr>
                <w:rFonts w:cstheme="minorHAnsi"/>
                <w:szCs w:val="24"/>
              </w:rPr>
              <w:t xml:space="preserve">THE BUSINESS TRADE NAME OF THE PARTICIPANT </w:t>
            </w:r>
          </w:p>
        </w:tc>
      </w:tr>
      <w:tr w:rsidR="00D849C6" w:rsidRPr="00B74333" w14:paraId="5140C581" w14:textId="77777777" w:rsidTr="00FD0F06">
        <w:tc>
          <w:tcPr>
            <w:tcW w:w="769" w:type="dxa"/>
            <w:shd w:val="clear" w:color="auto" w:fill="auto"/>
          </w:tcPr>
          <w:p w14:paraId="5A5067D8" w14:textId="77777777" w:rsidR="00D849C6" w:rsidRPr="00B74333" w:rsidRDefault="00D849C6" w:rsidP="008E02B2">
            <w:pPr>
              <w:ind w:right="-477"/>
              <w:jc w:val="both"/>
              <w:rPr>
                <w:rFonts w:cstheme="minorHAnsi"/>
                <w:szCs w:val="24"/>
              </w:rPr>
            </w:pPr>
            <w:r w:rsidRPr="00B74333">
              <w:rPr>
                <w:rFonts w:cstheme="minorHAnsi"/>
                <w:szCs w:val="24"/>
              </w:rPr>
              <w:t>b.</w:t>
            </w:r>
          </w:p>
        </w:tc>
        <w:tc>
          <w:tcPr>
            <w:tcW w:w="8837" w:type="dxa"/>
            <w:shd w:val="clear" w:color="auto" w:fill="auto"/>
          </w:tcPr>
          <w:p w14:paraId="59ACB24B" w14:textId="77777777" w:rsidR="00D849C6" w:rsidRPr="00B74333" w:rsidRDefault="00D849C6" w:rsidP="008E02B2">
            <w:pPr>
              <w:ind w:right="-477"/>
              <w:jc w:val="both"/>
              <w:rPr>
                <w:rFonts w:cstheme="minorHAnsi"/>
                <w:szCs w:val="24"/>
              </w:rPr>
            </w:pPr>
            <w:r w:rsidRPr="00B74333">
              <w:rPr>
                <w:rFonts w:cstheme="minorHAnsi"/>
                <w:szCs w:val="24"/>
              </w:rPr>
              <w:t>THE ADDRESS OF PARTICIPANT’S SEAT TO BE INSERTED HERE</w:t>
            </w:r>
          </w:p>
        </w:tc>
      </w:tr>
      <w:tr w:rsidR="00D849C6" w:rsidRPr="00B74333" w14:paraId="7302ACFE" w14:textId="77777777" w:rsidTr="00FD0F06">
        <w:tc>
          <w:tcPr>
            <w:tcW w:w="769" w:type="dxa"/>
            <w:shd w:val="clear" w:color="auto" w:fill="auto"/>
          </w:tcPr>
          <w:p w14:paraId="3CE5D309" w14:textId="77777777" w:rsidR="00D849C6" w:rsidRPr="00B74333" w:rsidRDefault="00D849C6" w:rsidP="008E02B2">
            <w:pPr>
              <w:ind w:right="-477"/>
              <w:jc w:val="both"/>
              <w:rPr>
                <w:rFonts w:cstheme="minorHAnsi"/>
                <w:szCs w:val="24"/>
              </w:rPr>
            </w:pPr>
            <w:r w:rsidRPr="00B74333">
              <w:rPr>
                <w:rFonts w:cstheme="minorHAnsi"/>
                <w:szCs w:val="24"/>
              </w:rPr>
              <w:t>c.</w:t>
            </w:r>
          </w:p>
        </w:tc>
        <w:tc>
          <w:tcPr>
            <w:tcW w:w="8837" w:type="dxa"/>
            <w:shd w:val="clear" w:color="auto" w:fill="auto"/>
          </w:tcPr>
          <w:p w14:paraId="57DDCCB2" w14:textId="77777777" w:rsidR="00D849C6" w:rsidRPr="00B74333" w:rsidRDefault="00D849C6" w:rsidP="008E02B2">
            <w:pPr>
              <w:ind w:right="-477"/>
              <w:jc w:val="both"/>
              <w:rPr>
                <w:rFonts w:cstheme="minorHAnsi"/>
                <w:szCs w:val="24"/>
              </w:rPr>
            </w:pPr>
            <w:r w:rsidRPr="00B74333">
              <w:rPr>
                <w:rFonts w:cstheme="minorHAnsi"/>
                <w:szCs w:val="24"/>
              </w:rPr>
              <w:t>THE AMOUNT OF BINDING BID GUARANTEE IS TO BE INSERTED HERE</w:t>
            </w:r>
          </w:p>
        </w:tc>
      </w:tr>
      <w:tr w:rsidR="00D849C6" w:rsidRPr="00B74333" w14:paraId="6E43CC3F" w14:textId="77777777" w:rsidTr="00FD0F06">
        <w:tc>
          <w:tcPr>
            <w:tcW w:w="769" w:type="dxa"/>
            <w:shd w:val="clear" w:color="auto" w:fill="auto"/>
          </w:tcPr>
          <w:p w14:paraId="48B36E6E" w14:textId="77777777" w:rsidR="00D849C6" w:rsidRPr="00B74333" w:rsidRDefault="00D849C6" w:rsidP="008E02B2">
            <w:pPr>
              <w:ind w:right="-477"/>
              <w:jc w:val="both"/>
              <w:rPr>
                <w:rFonts w:cstheme="minorHAnsi"/>
                <w:szCs w:val="24"/>
              </w:rPr>
            </w:pPr>
            <w:r w:rsidRPr="00B74333">
              <w:rPr>
                <w:rFonts w:cstheme="minorHAnsi"/>
                <w:szCs w:val="24"/>
              </w:rPr>
              <w:t>d.</w:t>
            </w:r>
          </w:p>
        </w:tc>
        <w:tc>
          <w:tcPr>
            <w:tcW w:w="8837" w:type="dxa"/>
            <w:shd w:val="clear" w:color="auto" w:fill="auto"/>
          </w:tcPr>
          <w:p w14:paraId="26A04A01" w14:textId="77777777" w:rsidR="00D849C6" w:rsidRPr="00B74333" w:rsidRDefault="00D849C6" w:rsidP="008E02B2">
            <w:pPr>
              <w:ind w:right="-477"/>
              <w:jc w:val="both"/>
              <w:rPr>
                <w:rFonts w:cstheme="minorHAnsi"/>
                <w:szCs w:val="24"/>
              </w:rPr>
            </w:pPr>
            <w:r w:rsidRPr="00B74333">
              <w:rPr>
                <w:rFonts w:cstheme="minorHAnsi"/>
                <w:szCs w:val="24"/>
              </w:rPr>
              <w:t>BINDING OFFER DEADLINE FOR THE SUBMISSION OF THE BIDS IS TO BE INSERTED HERE</w:t>
            </w:r>
          </w:p>
        </w:tc>
      </w:tr>
    </w:tbl>
    <w:p w14:paraId="12E5074D" w14:textId="77777777" w:rsidR="001A450D" w:rsidRPr="00B74333" w:rsidRDefault="001A450D" w:rsidP="001A450D">
      <w:pPr>
        <w:spacing w:before="100" w:beforeAutospacing="1" w:after="100" w:afterAutospacing="1" w:line="276" w:lineRule="auto"/>
        <w:ind w:right="5"/>
        <w:rPr>
          <w:rFonts w:cstheme="minorHAnsi"/>
          <w:b/>
          <w:sz w:val="36"/>
          <w:szCs w:val="24"/>
        </w:rPr>
      </w:pPr>
      <w:r w:rsidRPr="00B74333">
        <w:rPr>
          <w:rFonts w:cstheme="minorHAnsi"/>
          <w:sz w:val="24"/>
          <w:szCs w:val="24"/>
        </w:rPr>
        <w:br w:type="page"/>
      </w:r>
    </w:p>
    <w:p w14:paraId="431ED13F" w14:textId="2E84198E" w:rsidR="006D033A" w:rsidRPr="00B74333" w:rsidRDefault="006D033A" w:rsidP="00971B02">
      <w:pPr>
        <w:pStyle w:val="Heading3"/>
        <w:pBdr>
          <w:bottom w:val="single" w:sz="4" w:space="1" w:color="auto"/>
        </w:pBdr>
        <w:rPr>
          <w:sz w:val="36"/>
          <w:szCs w:val="36"/>
        </w:rPr>
      </w:pPr>
      <w:bookmarkStart w:id="77" w:name="_Toc165465571"/>
      <w:r w:rsidRPr="00B74333">
        <w:rPr>
          <w:sz w:val="36"/>
          <w:szCs w:val="36"/>
        </w:rPr>
        <w:lastRenderedPageBreak/>
        <w:t>Annex V</w:t>
      </w:r>
      <w:r w:rsidR="00751B01" w:rsidRPr="00B74333">
        <w:rPr>
          <w:sz w:val="36"/>
          <w:szCs w:val="36"/>
        </w:rPr>
        <w:t>I</w:t>
      </w:r>
      <w:r w:rsidRPr="00B74333">
        <w:rPr>
          <w:sz w:val="36"/>
          <w:szCs w:val="36"/>
        </w:rPr>
        <w:t xml:space="preserve"> - Economic test parameters for </w:t>
      </w:r>
      <w:proofErr w:type="gramStart"/>
      <w:r w:rsidRPr="00B74333">
        <w:rPr>
          <w:sz w:val="36"/>
          <w:szCs w:val="36"/>
        </w:rPr>
        <w:t>DESFA</w:t>
      </w:r>
      <w:bookmarkEnd w:id="77"/>
      <w:proofErr w:type="gramEnd"/>
    </w:p>
    <w:p w14:paraId="104E4524" w14:textId="77777777" w:rsidR="006D033A" w:rsidRPr="00B74333" w:rsidRDefault="006D033A" w:rsidP="006D033A">
      <w:pPr>
        <w:widowControl w:val="0"/>
        <w:suppressAutoHyphens/>
        <w:spacing w:after="120" w:line="360" w:lineRule="auto"/>
        <w:jc w:val="both"/>
        <w:rPr>
          <w:rFonts w:cstheme="minorHAnsi"/>
        </w:rPr>
      </w:pPr>
    </w:p>
    <w:p w14:paraId="25BF3518" w14:textId="3A9E517D" w:rsidR="006D033A" w:rsidRPr="00B74333" w:rsidRDefault="006D033A" w:rsidP="006D033A">
      <w:pPr>
        <w:widowControl w:val="0"/>
        <w:suppressAutoHyphens/>
        <w:spacing w:after="120" w:line="360" w:lineRule="auto"/>
        <w:jc w:val="both"/>
        <w:rPr>
          <w:rFonts w:cstheme="minorHAnsi"/>
        </w:rPr>
      </w:pPr>
      <w:r w:rsidRPr="00B74333">
        <w:rPr>
          <w:rFonts w:cstheme="minorHAnsi"/>
        </w:rPr>
        <w:t>This Annex describes the approved level of the user commitments (f-factor) to be considered in the execution of the EVT</w:t>
      </w:r>
      <w:r w:rsidR="00E77EA1" w:rsidRPr="00B74333">
        <w:rPr>
          <w:rFonts w:cstheme="minorHAnsi"/>
        </w:rPr>
        <w:t>.</w:t>
      </w:r>
      <w:r w:rsidRPr="00B74333">
        <w:rPr>
          <w:rFonts w:cstheme="minorHAnsi"/>
        </w:rPr>
        <w:t xml:space="preserve"> </w:t>
      </w:r>
    </w:p>
    <w:p w14:paraId="3364AA58" w14:textId="77777777" w:rsidR="006D033A" w:rsidRPr="00B74333" w:rsidRDefault="006D033A" w:rsidP="006D033A">
      <w:pPr>
        <w:widowControl w:val="0"/>
        <w:suppressAutoHyphens/>
        <w:spacing w:after="120" w:line="360" w:lineRule="auto"/>
        <w:jc w:val="both"/>
        <w:rPr>
          <w:rFonts w:cstheme="minorHAnsi"/>
        </w:rPr>
      </w:pPr>
      <w:r w:rsidRPr="00B74333">
        <w:rPr>
          <w:rFonts w:cstheme="minorHAnsi"/>
        </w:rPr>
        <w:t xml:space="preserve">DESFA, consistent with the tariff regulatory framework in place, applies floating applicable payable price derived from its reference price methodology, also to incremental capacity. </w:t>
      </w:r>
    </w:p>
    <w:p w14:paraId="4F523A99" w14:textId="77777777" w:rsidR="006D033A" w:rsidRPr="00B74333" w:rsidRDefault="006D033A" w:rsidP="006D033A">
      <w:pPr>
        <w:widowControl w:val="0"/>
        <w:suppressAutoHyphens/>
        <w:spacing w:after="120" w:line="360" w:lineRule="auto"/>
        <w:jc w:val="both"/>
        <w:rPr>
          <w:rFonts w:cstheme="minorHAnsi"/>
        </w:rPr>
      </w:pPr>
      <w:r w:rsidRPr="00B74333">
        <w:rPr>
          <w:rFonts w:cstheme="minorHAnsi"/>
        </w:rPr>
        <w:t>Economic test parameters for DESFA:</w:t>
      </w:r>
    </w:p>
    <w:p w14:paraId="209EEC75" w14:textId="66A908C4" w:rsidR="006D033A" w:rsidRPr="00B74333" w:rsidRDefault="006D033A">
      <w:pPr>
        <w:pStyle w:val="ListParagraph"/>
        <w:widowControl w:val="0"/>
        <w:numPr>
          <w:ilvl w:val="0"/>
          <w:numId w:val="18"/>
        </w:numPr>
        <w:suppressAutoHyphens/>
        <w:spacing w:before="240" w:after="0" w:line="360" w:lineRule="auto"/>
        <w:ind w:hanging="294"/>
        <w:jc w:val="both"/>
        <w:rPr>
          <w:rFonts w:cstheme="minorHAnsi"/>
          <w:i/>
          <w:u w:val="single"/>
        </w:rPr>
      </w:pPr>
      <w:r w:rsidRPr="00B74333">
        <w:rPr>
          <w:rFonts w:cstheme="minorHAnsi"/>
          <w:i/>
          <w:u w:val="single"/>
        </w:rPr>
        <w:t xml:space="preserve">Reference Price </w:t>
      </w:r>
    </w:p>
    <w:p w14:paraId="748F3FEF" w14:textId="7DC237AB" w:rsidR="00EE6E02" w:rsidRPr="00B74333" w:rsidRDefault="006D033A" w:rsidP="006D033A">
      <w:pPr>
        <w:widowControl w:val="0"/>
        <w:suppressAutoHyphens/>
        <w:spacing w:after="120" w:line="360" w:lineRule="auto"/>
        <w:ind w:left="720"/>
        <w:jc w:val="both"/>
        <w:rPr>
          <w:rFonts w:cstheme="minorHAnsi"/>
        </w:rPr>
      </w:pPr>
      <w:r w:rsidRPr="00B74333">
        <w:rPr>
          <w:rFonts w:cstheme="minorHAnsi"/>
        </w:rPr>
        <w:t xml:space="preserve">The tariff for the allocated capacity shall be governed by the principles and methodology detailed in the Tariff Regulation as in force at any given time. Consistently with the current tariff regulatory framework, DESFA considers applying a floating reference price. </w:t>
      </w:r>
    </w:p>
    <w:p w14:paraId="153DA57A" w14:textId="77777777" w:rsidR="00B27C43" w:rsidRPr="00B74333" w:rsidRDefault="00B27C43" w:rsidP="00B27C43">
      <w:pPr>
        <w:widowControl w:val="0"/>
        <w:suppressAutoHyphens/>
        <w:spacing w:after="0" w:line="360" w:lineRule="auto"/>
        <w:ind w:left="720"/>
        <w:jc w:val="both"/>
        <w:rPr>
          <w:rFonts w:cstheme="minorHAnsi"/>
        </w:rPr>
      </w:pPr>
      <w:r w:rsidRPr="00B74333">
        <w:rPr>
          <w:rFonts w:cstheme="minorHAnsi"/>
        </w:rPr>
        <w:t xml:space="preserve">The inclusion of the Limited Expansion Project in DESFA’s Regulated Asset Base (RAB) will lead to an estimated tariff equal to 4,3967941€/(kWh/h)/y for the entry points and an estimated tariff equal to 5,1409195 €/(kWh/h)/y for the exit points being the Reference Prices for DESFA’s calculations for the EVT. </w:t>
      </w:r>
    </w:p>
    <w:p w14:paraId="79020824" w14:textId="18D132F7" w:rsidR="00B27C43" w:rsidRPr="00B74333" w:rsidRDefault="00B27C43" w:rsidP="00B27C43">
      <w:pPr>
        <w:widowControl w:val="0"/>
        <w:suppressAutoHyphens/>
        <w:spacing w:after="0" w:line="360" w:lineRule="auto"/>
        <w:ind w:left="720"/>
        <w:jc w:val="both"/>
        <w:rPr>
          <w:rFonts w:cstheme="minorHAnsi"/>
        </w:rPr>
      </w:pPr>
      <w:r w:rsidRPr="00B74333">
        <w:rPr>
          <w:rFonts w:cstheme="minorHAnsi"/>
        </w:rPr>
        <w:t xml:space="preserve">The inclusion of the Partial Expansion Project in DESFA’s Regulated Asset Base (RAB) will lead to an estimated tariff equal to 4,4263628 €/(kWh/h)/y for the entry points and an estimated tariff equal to 5,6808396 €/(kWh/h)/y for the exit points being the Reference Prices for DESFA’s calculations for the EVT. </w:t>
      </w:r>
    </w:p>
    <w:p w14:paraId="7B894C96" w14:textId="4B525FEF" w:rsidR="00B5113A" w:rsidRPr="00B74333" w:rsidRDefault="00B27C43" w:rsidP="00B27C43">
      <w:pPr>
        <w:widowControl w:val="0"/>
        <w:suppressAutoHyphens/>
        <w:spacing w:after="0" w:line="360" w:lineRule="auto"/>
        <w:ind w:left="720"/>
        <w:jc w:val="both"/>
        <w:rPr>
          <w:rFonts w:cstheme="minorHAnsi"/>
        </w:rPr>
      </w:pPr>
      <w:r w:rsidRPr="00B74333">
        <w:rPr>
          <w:rFonts w:cstheme="minorHAnsi"/>
        </w:rPr>
        <w:t>The inclusion of the Full Expansion Project in DESFA’s Regulated Asset Base (RAB) will lead to an estimated tariff equal to 4,3506619 €/(kWh/h)/y for the entry points and an estimated tariff equal to 5,7074633 €/(kWh/h)/y for the exit points being the Reference Prices for DESFA’s calculations for the EVT.</w:t>
      </w:r>
    </w:p>
    <w:p w14:paraId="7F57BD2D" w14:textId="17325370" w:rsidR="001F5BBC" w:rsidRPr="00B74333" w:rsidRDefault="001F5BBC" w:rsidP="00B27C43">
      <w:pPr>
        <w:widowControl w:val="0"/>
        <w:suppressAutoHyphens/>
        <w:spacing w:after="0" w:line="360" w:lineRule="auto"/>
        <w:ind w:left="720"/>
        <w:jc w:val="both"/>
        <w:rPr>
          <w:rFonts w:cstheme="minorHAnsi"/>
        </w:rPr>
      </w:pPr>
      <w:r w:rsidRPr="00B74333">
        <w:rPr>
          <w:rFonts w:cstheme="minorHAnsi"/>
        </w:rPr>
        <w:t>For the avoidance of doubt, in all cases, the reference price effectively applied will be finally determined according to the provisions of the regulatory framework in place at the time of the transmission service and considering the actual costs incurred by the TSO.</w:t>
      </w:r>
    </w:p>
    <w:p w14:paraId="5BC215FE" w14:textId="4FD2E0F7" w:rsidR="00854ACA" w:rsidRPr="00B74333" w:rsidRDefault="006D033A" w:rsidP="00D363EC">
      <w:pPr>
        <w:pStyle w:val="ListParagraph"/>
        <w:widowControl w:val="0"/>
        <w:numPr>
          <w:ilvl w:val="0"/>
          <w:numId w:val="18"/>
        </w:numPr>
        <w:suppressAutoHyphens/>
        <w:spacing w:before="240" w:after="0" w:line="360" w:lineRule="auto"/>
        <w:jc w:val="both"/>
        <w:rPr>
          <w:rFonts w:cstheme="minorHAnsi"/>
          <w:i/>
          <w:u w:val="single"/>
        </w:rPr>
      </w:pPr>
      <w:r w:rsidRPr="00B74333">
        <w:rPr>
          <w:rFonts w:cstheme="minorHAnsi"/>
          <w:i/>
          <w:u w:val="single"/>
        </w:rPr>
        <w:t xml:space="preserve">Mandatory minimum premium </w:t>
      </w:r>
    </w:p>
    <w:p w14:paraId="26FFCF3C" w14:textId="77777777" w:rsidR="00541F37" w:rsidRPr="00B74333" w:rsidRDefault="00541F37" w:rsidP="00541F37">
      <w:pPr>
        <w:pStyle w:val="ListParagraph"/>
        <w:widowControl w:val="0"/>
        <w:suppressAutoHyphens/>
        <w:spacing w:after="120" w:line="360" w:lineRule="auto"/>
        <w:jc w:val="both"/>
        <w:rPr>
          <w:rFonts w:cstheme="minorHAnsi"/>
        </w:rPr>
      </w:pPr>
      <w:r w:rsidRPr="00B74333">
        <w:rPr>
          <w:rFonts w:cstheme="minorHAnsi"/>
        </w:rPr>
        <w:t xml:space="preserve">For the Limited Expansion Project, both for entry and exit points, the Mandatory Minimum Premium is equal to 0,4080 €/(kWh/h)/y.   </w:t>
      </w:r>
    </w:p>
    <w:p w14:paraId="3EBDE7B8" w14:textId="15DB4CB7" w:rsidR="00541F37" w:rsidRPr="00B74333" w:rsidRDefault="00541F37" w:rsidP="00541F37">
      <w:pPr>
        <w:pStyle w:val="ListParagraph"/>
        <w:widowControl w:val="0"/>
        <w:suppressAutoHyphens/>
        <w:spacing w:after="120" w:line="360" w:lineRule="auto"/>
        <w:jc w:val="both"/>
        <w:rPr>
          <w:rFonts w:cstheme="minorHAnsi"/>
        </w:rPr>
      </w:pPr>
      <w:r w:rsidRPr="00B74333">
        <w:rPr>
          <w:rFonts w:cstheme="minorHAnsi"/>
        </w:rPr>
        <w:lastRenderedPageBreak/>
        <w:t xml:space="preserve">For the Partial Expansion Project, both for entry and exit points, the Mandatory Minimum Premium is equal to 0,2880 €/(kWh/h)/y. </w:t>
      </w:r>
    </w:p>
    <w:p w14:paraId="193ED770" w14:textId="7B4FBEDC" w:rsidR="00854ACA" w:rsidRPr="00B74333" w:rsidRDefault="00541F37" w:rsidP="00541F37">
      <w:pPr>
        <w:pStyle w:val="ListParagraph"/>
        <w:widowControl w:val="0"/>
        <w:suppressAutoHyphens/>
        <w:spacing w:after="120" w:line="360" w:lineRule="auto"/>
        <w:jc w:val="both"/>
        <w:rPr>
          <w:rFonts w:cstheme="minorHAnsi"/>
        </w:rPr>
      </w:pPr>
      <w:r w:rsidRPr="00B74333">
        <w:rPr>
          <w:rFonts w:cstheme="minorHAnsi"/>
        </w:rPr>
        <w:t xml:space="preserve">For the Full Expansion Project, both for entry and exit points, the Mandatory Minimum Premium is equal to 0 €/(kWh/h)/y. </w:t>
      </w:r>
    </w:p>
    <w:p w14:paraId="21D0FE17" w14:textId="77777777" w:rsidR="00D363EC" w:rsidRPr="00B74333" w:rsidRDefault="00D363EC" w:rsidP="00B54F1C">
      <w:pPr>
        <w:pStyle w:val="ListParagraph"/>
        <w:widowControl w:val="0"/>
        <w:suppressAutoHyphens/>
        <w:spacing w:after="120" w:line="360" w:lineRule="auto"/>
        <w:jc w:val="both"/>
        <w:rPr>
          <w:rFonts w:cstheme="minorHAnsi"/>
        </w:rPr>
      </w:pPr>
    </w:p>
    <w:p w14:paraId="4293F3BF" w14:textId="4F4918D5" w:rsidR="006D033A" w:rsidRPr="00B74333" w:rsidRDefault="006D033A">
      <w:pPr>
        <w:pStyle w:val="ListParagraph"/>
        <w:widowControl w:val="0"/>
        <w:numPr>
          <w:ilvl w:val="0"/>
          <w:numId w:val="18"/>
        </w:numPr>
        <w:suppressAutoHyphens/>
        <w:spacing w:before="240" w:after="0" w:line="360" w:lineRule="auto"/>
        <w:jc w:val="both"/>
        <w:rPr>
          <w:rFonts w:cstheme="minorHAnsi"/>
          <w:i/>
          <w:u w:val="single"/>
        </w:rPr>
      </w:pPr>
      <w:r w:rsidRPr="00B74333">
        <w:rPr>
          <w:rFonts w:cstheme="minorHAnsi"/>
          <w:i/>
          <w:u w:val="single"/>
        </w:rPr>
        <w:t xml:space="preserve">Present value of estimated increase in allowed </w:t>
      </w:r>
      <w:proofErr w:type="gramStart"/>
      <w:r w:rsidRPr="00B74333">
        <w:rPr>
          <w:rFonts w:cstheme="minorHAnsi"/>
          <w:i/>
          <w:u w:val="single"/>
        </w:rPr>
        <w:t>revenue</w:t>
      </w:r>
      <w:proofErr w:type="gramEnd"/>
      <w:r w:rsidRPr="00B74333">
        <w:rPr>
          <w:rFonts w:cstheme="minorHAnsi"/>
          <w:i/>
          <w:u w:val="single"/>
        </w:rPr>
        <w:t xml:space="preserve"> </w:t>
      </w:r>
    </w:p>
    <w:p w14:paraId="37EB42AD" w14:textId="77777777" w:rsidR="00E941CE" w:rsidRPr="00B74333" w:rsidRDefault="00E941CE" w:rsidP="00E941CE">
      <w:pPr>
        <w:widowControl w:val="0"/>
        <w:suppressAutoHyphens/>
        <w:spacing w:after="120" w:line="360" w:lineRule="auto"/>
        <w:ind w:left="720"/>
        <w:jc w:val="both"/>
        <w:rPr>
          <w:rFonts w:cstheme="minorHAnsi"/>
        </w:rPr>
      </w:pPr>
      <w:r w:rsidRPr="00B74333">
        <w:rPr>
          <w:rFonts w:cstheme="minorHAnsi"/>
        </w:rPr>
        <w:t>The present value of the estimated increase of the allowed revenues associated to the investments for the Limited Expansion Project, is estimated to 152.293.723 €.</w:t>
      </w:r>
    </w:p>
    <w:p w14:paraId="5769B2E6" w14:textId="683AC0B1" w:rsidR="00E941CE" w:rsidRPr="00B74333" w:rsidRDefault="00E941CE" w:rsidP="00E941CE">
      <w:pPr>
        <w:widowControl w:val="0"/>
        <w:suppressAutoHyphens/>
        <w:spacing w:after="120" w:line="360" w:lineRule="auto"/>
        <w:ind w:left="720"/>
        <w:jc w:val="both"/>
        <w:rPr>
          <w:rFonts w:cstheme="minorHAnsi"/>
        </w:rPr>
      </w:pPr>
      <w:r w:rsidRPr="00B74333">
        <w:rPr>
          <w:rFonts w:cstheme="minorHAnsi"/>
        </w:rPr>
        <w:t xml:space="preserve">The present value of the estimated increase of the allowed revenues associated to the investments for Partial Expansion Project is estimated to </w:t>
      </w:r>
      <w:proofErr w:type="gramStart"/>
      <w:r w:rsidRPr="00B74333">
        <w:rPr>
          <w:rFonts w:cstheme="minorHAnsi"/>
        </w:rPr>
        <w:t>255.434.644</w:t>
      </w:r>
      <w:proofErr w:type="gramEnd"/>
      <w:r w:rsidR="00126A7C" w:rsidRPr="00B74333">
        <w:rPr>
          <w:rFonts w:cstheme="minorHAnsi"/>
        </w:rPr>
        <w:t xml:space="preserve"> </w:t>
      </w:r>
      <w:r w:rsidRPr="00B74333">
        <w:rPr>
          <w:rFonts w:cstheme="minorHAnsi"/>
        </w:rPr>
        <w:t>€.</w:t>
      </w:r>
    </w:p>
    <w:p w14:paraId="671BA068" w14:textId="617A31B6" w:rsidR="00A02B0C" w:rsidRPr="00B74333" w:rsidRDefault="00E941CE" w:rsidP="00E941CE">
      <w:pPr>
        <w:widowControl w:val="0"/>
        <w:suppressAutoHyphens/>
        <w:spacing w:after="120" w:line="360" w:lineRule="auto"/>
        <w:ind w:left="720"/>
        <w:jc w:val="both"/>
        <w:rPr>
          <w:rFonts w:cstheme="minorHAnsi"/>
        </w:rPr>
      </w:pPr>
      <w:r w:rsidRPr="00B74333">
        <w:rPr>
          <w:rFonts w:cstheme="minorHAnsi"/>
        </w:rPr>
        <w:t xml:space="preserve">The present value of the estimated increase of the allowed revenues associated </w:t>
      </w:r>
      <w:proofErr w:type="gramStart"/>
      <w:r w:rsidRPr="00B74333">
        <w:rPr>
          <w:rFonts w:cstheme="minorHAnsi"/>
        </w:rPr>
        <w:t>to</w:t>
      </w:r>
      <w:proofErr w:type="gramEnd"/>
      <w:r w:rsidRPr="00B74333">
        <w:rPr>
          <w:rFonts w:cstheme="minorHAnsi"/>
        </w:rPr>
        <w:t xml:space="preserve"> the investments for the Full Expansion Project is estimated to 403.293.027 €.</w:t>
      </w:r>
    </w:p>
    <w:p w14:paraId="0B76D5E6" w14:textId="6AD62404" w:rsidR="00F02D76" w:rsidRPr="00B74333" w:rsidRDefault="006D033A" w:rsidP="00784489">
      <w:pPr>
        <w:pStyle w:val="ListParagraph"/>
        <w:widowControl w:val="0"/>
        <w:numPr>
          <w:ilvl w:val="0"/>
          <w:numId w:val="18"/>
        </w:numPr>
        <w:suppressAutoHyphens/>
        <w:spacing w:before="240" w:after="120" w:line="360" w:lineRule="auto"/>
        <w:jc w:val="both"/>
        <w:rPr>
          <w:rFonts w:cstheme="minorHAnsi"/>
          <w:i/>
          <w:u w:val="single"/>
        </w:rPr>
      </w:pPr>
      <w:r w:rsidRPr="00B74333">
        <w:rPr>
          <w:rFonts w:cstheme="minorHAnsi"/>
          <w:i/>
          <w:u w:val="single"/>
        </w:rPr>
        <w:t xml:space="preserve">F-factor </w:t>
      </w:r>
    </w:p>
    <w:p w14:paraId="654BB9EB" w14:textId="01FF4C87" w:rsidR="00BA675A" w:rsidRPr="00B74333" w:rsidRDefault="00293D07" w:rsidP="00784489">
      <w:pPr>
        <w:pStyle w:val="ListParagraph"/>
        <w:widowControl w:val="0"/>
        <w:suppressAutoHyphens/>
        <w:spacing w:before="240" w:after="120" w:line="360" w:lineRule="auto"/>
        <w:jc w:val="both"/>
        <w:rPr>
          <w:rFonts w:cstheme="minorHAnsi"/>
        </w:rPr>
      </w:pPr>
      <w:r w:rsidRPr="00B74333">
        <w:rPr>
          <w:rFonts w:cstheme="minorHAnsi"/>
        </w:rPr>
        <w:t>The</w:t>
      </w:r>
      <w:r w:rsidR="000C79F9" w:rsidRPr="00B74333">
        <w:rPr>
          <w:rFonts w:cstheme="minorHAnsi"/>
        </w:rPr>
        <w:t xml:space="preserve"> level of user </w:t>
      </w:r>
      <w:proofErr w:type="gramStart"/>
      <w:r w:rsidR="000C79F9" w:rsidRPr="00B74333">
        <w:rPr>
          <w:rFonts w:cstheme="minorHAnsi"/>
        </w:rPr>
        <w:t>commitments</w:t>
      </w:r>
      <w:proofErr w:type="gramEnd"/>
      <w:r w:rsidR="000C79F9" w:rsidRPr="00B74333">
        <w:rPr>
          <w:rFonts w:cstheme="minorHAnsi"/>
        </w:rPr>
        <w:t xml:space="preserve"> (f-factor) proposed for the EVT is 0.7 for all Expansion Projects.</w:t>
      </w:r>
    </w:p>
    <w:p w14:paraId="7A6C0E0F" w14:textId="132EB350" w:rsidR="00D13226" w:rsidRPr="00B74333" w:rsidRDefault="00D13226">
      <w:pPr>
        <w:rPr>
          <w:rFonts w:cstheme="minorHAnsi"/>
          <w:b/>
          <w:sz w:val="24"/>
          <w:szCs w:val="24"/>
        </w:rPr>
      </w:pPr>
      <w:r w:rsidRPr="00B74333">
        <w:rPr>
          <w:rFonts w:cstheme="minorHAnsi"/>
        </w:rPr>
        <w:br w:type="page"/>
      </w:r>
    </w:p>
    <w:p w14:paraId="79496976" w14:textId="2997EEC3" w:rsidR="00192F18" w:rsidRPr="00B74333" w:rsidRDefault="001F7E58" w:rsidP="00192F18">
      <w:pPr>
        <w:pStyle w:val="Heading3"/>
        <w:pBdr>
          <w:bottom w:val="single" w:sz="4" w:space="1" w:color="auto"/>
        </w:pBdr>
        <w:rPr>
          <w:sz w:val="36"/>
          <w:szCs w:val="36"/>
          <w:lang w:val="it-IT"/>
        </w:rPr>
      </w:pPr>
      <w:bookmarkStart w:id="78" w:name="_Toc165465572"/>
      <w:r w:rsidRPr="00B74333">
        <w:rPr>
          <w:sz w:val="36"/>
          <w:szCs w:val="36"/>
          <w:lang w:val="it-IT"/>
        </w:rPr>
        <w:lastRenderedPageBreak/>
        <w:t>Annex</w:t>
      </w:r>
      <w:r w:rsidR="00192F18" w:rsidRPr="00B74333">
        <w:rPr>
          <w:sz w:val="36"/>
          <w:szCs w:val="36"/>
          <w:lang w:val="it-IT"/>
        </w:rPr>
        <w:t xml:space="preserve"> VI</w:t>
      </w:r>
      <w:r w:rsidR="00DE1485" w:rsidRPr="00B74333">
        <w:rPr>
          <w:sz w:val="36"/>
          <w:szCs w:val="36"/>
          <w:lang w:val="it-IT"/>
        </w:rPr>
        <w:t>I</w:t>
      </w:r>
      <w:r w:rsidR="00192F18" w:rsidRPr="00B74333">
        <w:rPr>
          <w:sz w:val="36"/>
          <w:szCs w:val="36"/>
          <w:lang w:val="it-IT"/>
        </w:rPr>
        <w:t xml:space="preserve"> - Pro-forma GTA and GTA Guarantee</w:t>
      </w:r>
      <w:bookmarkEnd w:id="78"/>
    </w:p>
    <w:p w14:paraId="105FC756" w14:textId="77777777" w:rsidR="00192F18" w:rsidRPr="00B74333" w:rsidRDefault="00192F18" w:rsidP="00192F18">
      <w:pPr>
        <w:widowControl w:val="0"/>
        <w:spacing w:after="0" w:line="341" w:lineRule="auto"/>
        <w:jc w:val="center"/>
        <w:rPr>
          <w:rFonts w:eastAsia="Calibri" w:cstheme="minorHAnsi"/>
          <w:b/>
          <w:color w:val="000000"/>
          <w:sz w:val="36"/>
          <w:szCs w:val="36"/>
          <w:lang w:val="it-IT" w:bidi="en-US"/>
        </w:rPr>
      </w:pPr>
    </w:p>
    <w:p w14:paraId="456EDE45" w14:textId="77777777" w:rsidR="00192F18" w:rsidRPr="00B74333" w:rsidRDefault="00192F18" w:rsidP="00192F18">
      <w:pPr>
        <w:widowControl w:val="0"/>
        <w:spacing w:after="0" w:line="341" w:lineRule="auto"/>
        <w:jc w:val="center"/>
        <w:rPr>
          <w:rFonts w:eastAsia="Calibri" w:cstheme="minorHAnsi"/>
          <w:b/>
          <w:color w:val="000000"/>
          <w:sz w:val="36"/>
          <w:szCs w:val="36"/>
          <w:lang w:val="it-IT" w:bidi="en-US"/>
        </w:rPr>
      </w:pPr>
    </w:p>
    <w:p w14:paraId="4951E777" w14:textId="77777777" w:rsidR="00192F18" w:rsidRPr="00B74333" w:rsidRDefault="00192F18" w:rsidP="00192F18">
      <w:pPr>
        <w:widowControl w:val="0"/>
        <w:spacing w:after="0" w:line="341" w:lineRule="auto"/>
        <w:jc w:val="center"/>
        <w:rPr>
          <w:rFonts w:eastAsia="Calibri" w:cstheme="minorHAnsi"/>
          <w:color w:val="000000"/>
          <w:sz w:val="36"/>
          <w:szCs w:val="36"/>
          <w:lang w:eastAsia="el-GR" w:bidi="el-GR"/>
        </w:rPr>
      </w:pPr>
      <w:bookmarkStart w:id="79" w:name="_Hlk125106494"/>
      <w:r w:rsidRPr="00B74333">
        <w:rPr>
          <w:rFonts w:eastAsia="Calibri" w:cstheme="minorHAnsi"/>
          <w:b/>
          <w:bCs/>
          <w:color w:val="000000"/>
          <w:sz w:val="36"/>
          <w:szCs w:val="36"/>
          <w:lang w:bidi="en-US"/>
        </w:rPr>
        <w:t>Form of</w:t>
      </w:r>
    </w:p>
    <w:p w14:paraId="6629975F" w14:textId="77777777" w:rsidR="00192F18" w:rsidRPr="00B74333" w:rsidRDefault="00192F18" w:rsidP="00192F18">
      <w:pPr>
        <w:widowControl w:val="0"/>
        <w:spacing w:after="0" w:line="341" w:lineRule="auto"/>
        <w:jc w:val="center"/>
        <w:rPr>
          <w:rFonts w:eastAsia="Calibri" w:cstheme="minorHAnsi"/>
          <w:color w:val="000000"/>
          <w:sz w:val="36"/>
          <w:szCs w:val="36"/>
          <w:lang w:eastAsia="el-GR" w:bidi="el-GR"/>
        </w:rPr>
      </w:pPr>
      <w:r w:rsidRPr="00B74333">
        <w:rPr>
          <w:rFonts w:eastAsia="Calibri" w:cstheme="minorHAnsi"/>
          <w:b/>
          <w:bCs/>
          <w:color w:val="000000"/>
          <w:sz w:val="36"/>
          <w:szCs w:val="36"/>
          <w:lang w:bidi="en-US"/>
        </w:rPr>
        <w:t>Gas Transportation Agreement</w:t>
      </w:r>
      <w:r w:rsidRPr="00B74333">
        <w:rPr>
          <w:rFonts w:eastAsia="Calibri" w:cstheme="minorHAnsi"/>
          <w:b/>
          <w:bCs/>
          <w:color w:val="000000"/>
          <w:sz w:val="36"/>
          <w:szCs w:val="36"/>
          <w:lang w:bidi="en-US"/>
        </w:rPr>
        <w:br/>
        <w:t>relating to</w:t>
      </w:r>
    </w:p>
    <w:p w14:paraId="64A0FADD" w14:textId="0DE54672" w:rsidR="00192F18" w:rsidRPr="00B74333" w:rsidRDefault="00192F18" w:rsidP="00192F18">
      <w:pPr>
        <w:widowControl w:val="0"/>
        <w:spacing w:after="440" w:line="353" w:lineRule="auto"/>
        <w:jc w:val="center"/>
        <w:rPr>
          <w:rFonts w:eastAsia="Calibri" w:cstheme="minorHAnsi"/>
          <w:color w:val="000000"/>
          <w:sz w:val="36"/>
          <w:szCs w:val="36"/>
          <w:lang w:eastAsia="el-GR" w:bidi="el-GR"/>
        </w:rPr>
      </w:pPr>
      <w:r w:rsidRPr="00B74333">
        <w:rPr>
          <w:rFonts w:eastAsia="Calibri" w:cstheme="minorHAnsi"/>
          <w:b/>
          <w:bCs/>
          <w:color w:val="000000"/>
          <w:sz w:val="36"/>
          <w:szCs w:val="36"/>
          <w:lang w:bidi="en-US"/>
        </w:rPr>
        <w:t xml:space="preserve">the Binding Phase of the </w:t>
      </w:r>
      <w:r w:rsidR="00F47076" w:rsidRPr="00B74333">
        <w:rPr>
          <w:rFonts w:eastAsia="Calibri" w:cstheme="minorHAnsi"/>
          <w:b/>
          <w:bCs/>
          <w:color w:val="000000"/>
          <w:sz w:val="36"/>
          <w:szCs w:val="36"/>
          <w:lang w:bidi="en-US"/>
        </w:rPr>
        <w:t>Market Test</w:t>
      </w:r>
      <w:r w:rsidRPr="00B74333">
        <w:rPr>
          <w:rFonts w:eastAsia="Calibri" w:cstheme="minorHAnsi"/>
          <w:b/>
          <w:bCs/>
          <w:color w:val="000000"/>
          <w:sz w:val="36"/>
          <w:szCs w:val="36"/>
          <w:lang w:bidi="en-US"/>
        </w:rPr>
        <w:t xml:space="preserve"> Process</w:t>
      </w:r>
      <w:r w:rsidR="00F47076" w:rsidRPr="00B74333">
        <w:rPr>
          <w:rFonts w:eastAsia="Calibri" w:cstheme="minorHAnsi"/>
          <w:b/>
          <w:bCs/>
          <w:color w:val="000000"/>
          <w:sz w:val="36"/>
          <w:szCs w:val="36"/>
          <w:lang w:bidi="en-US"/>
        </w:rPr>
        <w:t xml:space="preserve"> for the expansion of the Greek National Natural Gas System</w:t>
      </w:r>
      <w:r w:rsidRPr="00B74333">
        <w:rPr>
          <w:rFonts w:eastAsia="Calibri" w:cstheme="minorHAnsi"/>
          <w:b/>
          <w:bCs/>
          <w:color w:val="000000"/>
          <w:sz w:val="36"/>
          <w:szCs w:val="36"/>
          <w:lang w:bidi="en-US"/>
        </w:rPr>
        <w:br/>
        <w:t xml:space="preserve">No </w:t>
      </w:r>
      <w:r w:rsidR="00EF6DFB" w:rsidRPr="00B74333">
        <w:rPr>
          <w:rFonts w:eastAsia="Calibri" w:cstheme="minorHAnsi"/>
          <w:b/>
          <w:bCs/>
          <w:color w:val="000000"/>
          <w:sz w:val="36"/>
          <w:szCs w:val="36"/>
          <w:lang w:bidi="en-US"/>
        </w:rPr>
        <w:t>[</w:t>
      </w:r>
      <w:r w:rsidRPr="00B74333">
        <w:rPr>
          <w:rFonts w:eastAsia="Calibri" w:cstheme="minorHAnsi"/>
          <w:b/>
          <w:bCs/>
          <w:color w:val="000000"/>
          <w:sz w:val="36"/>
          <w:szCs w:val="36"/>
          <w:lang w:bidi="en-US"/>
        </w:rPr>
        <w:t>•]</w:t>
      </w:r>
    </w:p>
    <w:p w14:paraId="0EC4EAF2" w14:textId="77777777" w:rsidR="00192F18" w:rsidRPr="00B74333" w:rsidRDefault="00192F18" w:rsidP="00192F18">
      <w:pPr>
        <w:widowControl w:val="0"/>
        <w:spacing w:after="0" w:line="348" w:lineRule="auto"/>
        <w:jc w:val="center"/>
        <w:rPr>
          <w:rFonts w:eastAsia="Calibri" w:cstheme="minorHAnsi"/>
          <w:color w:val="000000"/>
          <w:sz w:val="36"/>
          <w:szCs w:val="36"/>
          <w:lang w:eastAsia="el-GR" w:bidi="el-GR"/>
        </w:rPr>
      </w:pPr>
      <w:r w:rsidRPr="00B74333">
        <w:rPr>
          <w:rFonts w:eastAsia="Calibri" w:cstheme="minorHAnsi"/>
          <w:b/>
          <w:bCs/>
          <w:color w:val="000000"/>
          <w:sz w:val="36"/>
          <w:szCs w:val="36"/>
          <w:lang w:bidi="en-US"/>
        </w:rPr>
        <w:t>between</w:t>
      </w:r>
    </w:p>
    <w:p w14:paraId="337606A7" w14:textId="77777777" w:rsidR="00192F18" w:rsidRPr="00B74333" w:rsidRDefault="00192F18" w:rsidP="00192F18">
      <w:pPr>
        <w:widowControl w:val="0"/>
        <w:spacing w:after="440" w:line="348" w:lineRule="auto"/>
        <w:jc w:val="center"/>
        <w:rPr>
          <w:rFonts w:eastAsia="Calibri" w:cstheme="minorHAnsi"/>
          <w:color w:val="000000"/>
          <w:sz w:val="36"/>
          <w:szCs w:val="36"/>
          <w:lang w:eastAsia="el-GR" w:bidi="el-GR"/>
        </w:rPr>
      </w:pPr>
      <w:r w:rsidRPr="00B74333">
        <w:rPr>
          <w:rFonts w:eastAsia="Calibri" w:cstheme="minorHAnsi"/>
          <w:b/>
          <w:bCs/>
          <w:color w:val="000000"/>
          <w:sz w:val="36"/>
          <w:szCs w:val="36"/>
          <w:lang w:bidi="en-US"/>
        </w:rPr>
        <w:t>DESFA SA</w:t>
      </w:r>
    </w:p>
    <w:p w14:paraId="51EA0C1C" w14:textId="77777777" w:rsidR="00192F18" w:rsidRPr="00B74333" w:rsidRDefault="00192F18" w:rsidP="00192F18">
      <w:pPr>
        <w:widowControl w:val="0"/>
        <w:spacing w:after="0" w:line="348" w:lineRule="auto"/>
        <w:jc w:val="center"/>
        <w:rPr>
          <w:rFonts w:eastAsia="Calibri" w:cstheme="minorHAnsi"/>
          <w:color w:val="000000"/>
          <w:sz w:val="36"/>
          <w:szCs w:val="36"/>
          <w:lang w:eastAsia="el-GR" w:bidi="el-GR"/>
        </w:rPr>
      </w:pPr>
      <w:r w:rsidRPr="00B74333">
        <w:rPr>
          <w:rFonts w:eastAsia="Calibri" w:cstheme="minorHAnsi"/>
          <w:b/>
          <w:bCs/>
          <w:color w:val="000000"/>
          <w:sz w:val="36"/>
          <w:szCs w:val="36"/>
          <w:lang w:bidi="en-US"/>
        </w:rPr>
        <w:t>- and -</w:t>
      </w:r>
    </w:p>
    <w:p w14:paraId="1ADF670A" w14:textId="77777777" w:rsidR="00192F18" w:rsidRPr="00B74333" w:rsidRDefault="00192F18" w:rsidP="00192F18">
      <w:pPr>
        <w:widowControl w:val="0"/>
        <w:spacing w:after="620" w:line="348" w:lineRule="auto"/>
        <w:jc w:val="center"/>
        <w:rPr>
          <w:rFonts w:eastAsia="Calibri" w:cstheme="minorHAnsi"/>
          <w:color w:val="000000"/>
          <w:sz w:val="36"/>
          <w:szCs w:val="36"/>
          <w:lang w:eastAsia="el-GR" w:bidi="el-GR"/>
        </w:rPr>
      </w:pPr>
      <w:r w:rsidRPr="00B74333">
        <w:rPr>
          <w:rFonts w:eastAsia="Calibri" w:cstheme="minorHAnsi"/>
          <w:b/>
          <w:bCs/>
          <w:i/>
          <w:iCs/>
          <w:color w:val="000000"/>
          <w:sz w:val="36"/>
          <w:szCs w:val="36"/>
          <w:lang w:bidi="en-US"/>
        </w:rPr>
        <w:t>[COMPANY: name of the Participant]</w:t>
      </w:r>
    </w:p>
    <w:p w14:paraId="0780AE72" w14:textId="06C18B67" w:rsidR="00192F18" w:rsidRPr="00B74333" w:rsidRDefault="00192F18" w:rsidP="00192F18">
      <w:pPr>
        <w:widowControl w:val="0"/>
        <w:spacing w:after="440" w:line="240" w:lineRule="auto"/>
        <w:jc w:val="center"/>
        <w:rPr>
          <w:rFonts w:eastAsia="Calibri" w:cstheme="minorHAnsi"/>
          <w:b/>
          <w:bCs/>
          <w:color w:val="000000"/>
          <w:sz w:val="28"/>
          <w:szCs w:val="28"/>
          <w:lang w:eastAsia="el-GR" w:bidi="el-GR"/>
        </w:rPr>
      </w:pPr>
      <w:r w:rsidRPr="00B74333">
        <w:rPr>
          <w:rFonts w:eastAsia="Calibri" w:cstheme="minorHAnsi"/>
          <w:b/>
          <w:bCs/>
          <w:color w:val="000000"/>
          <w:sz w:val="28"/>
          <w:szCs w:val="28"/>
          <w:lang w:bidi="en-US"/>
        </w:rPr>
        <w:t xml:space="preserve">[•] </w:t>
      </w:r>
      <w:r w:rsidRPr="00B74333">
        <w:rPr>
          <w:rFonts w:eastAsia="Calibri" w:cstheme="minorHAnsi"/>
          <w:b/>
          <w:bCs/>
          <w:color w:val="000000"/>
          <w:sz w:val="28"/>
          <w:szCs w:val="28"/>
          <w:lang w:eastAsia="el-GR" w:bidi="el-GR"/>
        </w:rPr>
        <w:t>20</w:t>
      </w:r>
      <w:r w:rsidR="000033F5" w:rsidRPr="00B74333">
        <w:rPr>
          <w:rFonts w:eastAsia="Calibri" w:cstheme="minorHAnsi"/>
          <w:b/>
          <w:bCs/>
          <w:color w:val="000000"/>
          <w:sz w:val="28"/>
          <w:szCs w:val="28"/>
          <w:lang w:eastAsia="el-GR" w:bidi="el-GR"/>
        </w:rPr>
        <w:t>….</w:t>
      </w:r>
    </w:p>
    <w:p w14:paraId="6EB10DA6" w14:textId="77777777" w:rsidR="00192F18" w:rsidRPr="00B74333" w:rsidRDefault="00192F18" w:rsidP="00192F18">
      <w:pPr>
        <w:widowControl w:val="0"/>
        <w:spacing w:after="0" w:line="240" w:lineRule="auto"/>
        <w:rPr>
          <w:rFonts w:eastAsia="Calibri" w:cstheme="minorHAnsi"/>
          <w:b/>
          <w:bCs/>
          <w:color w:val="000000"/>
          <w:sz w:val="28"/>
          <w:szCs w:val="28"/>
          <w:lang w:eastAsia="el-GR" w:bidi="el-GR"/>
        </w:rPr>
      </w:pPr>
      <w:r w:rsidRPr="00B74333">
        <w:rPr>
          <w:rFonts w:eastAsia="Calibri" w:cstheme="minorHAnsi"/>
          <w:b/>
          <w:bCs/>
          <w:color w:val="000000"/>
          <w:sz w:val="28"/>
          <w:szCs w:val="28"/>
          <w:lang w:eastAsia="el-GR" w:bidi="el-GR"/>
        </w:rPr>
        <w:br w:type="page"/>
      </w:r>
    </w:p>
    <w:p w14:paraId="19658907" w14:textId="77777777" w:rsidR="00192F18" w:rsidRPr="00B74333" w:rsidRDefault="00192F18" w:rsidP="001A64A1">
      <w:pPr>
        <w:jc w:val="both"/>
        <w:rPr>
          <w:rFonts w:eastAsia="Calibri" w:cstheme="minorHAnsi"/>
          <w:b/>
          <w:bCs/>
          <w:color w:val="000000"/>
          <w:sz w:val="24"/>
          <w:szCs w:val="24"/>
          <w:lang w:bidi="en-US"/>
        </w:rPr>
      </w:pPr>
      <w:bookmarkStart w:id="80" w:name="bookmark24"/>
      <w:r w:rsidRPr="00B74333">
        <w:rPr>
          <w:rFonts w:eastAsia="Calibri" w:cstheme="minorHAnsi"/>
          <w:b/>
          <w:bCs/>
          <w:color w:val="000000"/>
          <w:sz w:val="24"/>
          <w:szCs w:val="24"/>
          <w:lang w:bidi="en-US"/>
        </w:rPr>
        <w:lastRenderedPageBreak/>
        <w:t xml:space="preserve">THIS GAS TRANSPORTATION AGREEMENT </w:t>
      </w:r>
      <w:r w:rsidRPr="00B74333">
        <w:rPr>
          <w:rFonts w:eastAsia="Calibri" w:cstheme="minorHAnsi"/>
          <w:color w:val="000000"/>
          <w:sz w:val="24"/>
          <w:szCs w:val="24"/>
          <w:lang w:bidi="en-US"/>
        </w:rPr>
        <w:t>(“</w:t>
      </w:r>
      <w:r w:rsidRPr="00B74333">
        <w:rPr>
          <w:rFonts w:eastAsia="Calibri" w:cstheme="minorHAnsi"/>
          <w:b/>
          <w:bCs/>
          <w:color w:val="000000"/>
          <w:sz w:val="24"/>
          <w:szCs w:val="24"/>
          <w:lang w:bidi="en-US"/>
        </w:rPr>
        <w:t>Agreement</w:t>
      </w:r>
      <w:r w:rsidRPr="00B74333">
        <w:rPr>
          <w:rFonts w:eastAsia="Calibri" w:cstheme="minorHAnsi"/>
          <w:color w:val="000000"/>
          <w:sz w:val="24"/>
          <w:szCs w:val="24"/>
          <w:lang w:bidi="en-US"/>
        </w:rPr>
        <w:t>”) is made on</w:t>
      </w:r>
      <w:bookmarkEnd w:id="80"/>
      <w:r w:rsidRPr="00B74333">
        <w:rPr>
          <w:rFonts w:eastAsia="Calibri" w:cstheme="minorHAnsi"/>
          <w:color w:val="000000"/>
          <w:sz w:val="24"/>
          <w:szCs w:val="24"/>
          <w:lang w:bidi="en-US"/>
        </w:rPr>
        <w:t xml:space="preserve"> the</w:t>
      </w:r>
      <w:bookmarkStart w:id="81" w:name="_Hlk115946354"/>
      <w:r w:rsidRPr="00B74333">
        <w:rPr>
          <w:rFonts w:eastAsia="Calibri" w:cstheme="minorHAnsi"/>
          <w:b/>
          <w:bCs/>
          <w:color w:val="000000"/>
          <w:sz w:val="24"/>
          <w:szCs w:val="24"/>
          <w:lang w:bidi="en-US"/>
        </w:rPr>
        <w:t>……………………</w:t>
      </w:r>
      <w:bookmarkEnd w:id="81"/>
      <w:r w:rsidRPr="00B74333">
        <w:rPr>
          <w:rFonts w:eastAsia="Calibri" w:cstheme="minorHAnsi"/>
          <w:color w:val="000000"/>
          <w:sz w:val="24"/>
          <w:szCs w:val="24"/>
          <w:lang w:bidi="en-US"/>
        </w:rPr>
        <w:t>by and between</w:t>
      </w:r>
      <w:r w:rsidRPr="00B74333">
        <w:rPr>
          <w:rFonts w:eastAsia="Calibri" w:cstheme="minorHAnsi"/>
          <w:b/>
          <w:bCs/>
          <w:color w:val="000000"/>
          <w:sz w:val="24"/>
          <w:szCs w:val="24"/>
          <w:lang w:bidi="en-US"/>
        </w:rPr>
        <w:t>:</w:t>
      </w:r>
    </w:p>
    <w:p w14:paraId="67467E6C" w14:textId="7E1E31C4" w:rsidR="00192F18" w:rsidRPr="00B74333" w:rsidRDefault="00192F18">
      <w:pPr>
        <w:widowControl w:val="0"/>
        <w:numPr>
          <w:ilvl w:val="0"/>
          <w:numId w:val="40"/>
        </w:numPr>
        <w:tabs>
          <w:tab w:val="left" w:pos="430"/>
        </w:tabs>
        <w:spacing w:after="0" w:line="271"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Hellenic Gas Transmission System Operator Societe Anonyme, a company incorporated and existing under the laws of the Hellenic Republic, having its headquarters and registered office at 357-359 </w:t>
      </w:r>
      <w:proofErr w:type="spellStart"/>
      <w:r w:rsidRPr="00B74333">
        <w:rPr>
          <w:rFonts w:eastAsia="Calibri" w:cstheme="minorHAnsi"/>
          <w:color w:val="000000"/>
          <w:sz w:val="24"/>
          <w:szCs w:val="24"/>
          <w:lang w:bidi="en-US"/>
        </w:rPr>
        <w:t>Messogion</w:t>
      </w:r>
      <w:proofErr w:type="spellEnd"/>
      <w:r w:rsidRPr="00B74333">
        <w:rPr>
          <w:rFonts w:eastAsia="Calibri" w:cstheme="minorHAnsi"/>
          <w:color w:val="000000"/>
          <w:sz w:val="24"/>
          <w:szCs w:val="24"/>
          <w:lang w:bidi="en-US"/>
        </w:rPr>
        <w:t xml:space="preserve"> Avenue, </w:t>
      </w:r>
      <w:proofErr w:type="spellStart"/>
      <w:r w:rsidRPr="00B74333">
        <w:rPr>
          <w:rFonts w:eastAsia="Calibri" w:cstheme="minorHAnsi"/>
          <w:color w:val="000000"/>
          <w:sz w:val="24"/>
          <w:szCs w:val="24"/>
          <w:lang w:bidi="en-US"/>
        </w:rPr>
        <w:t>Halandri</w:t>
      </w:r>
      <w:proofErr w:type="spellEnd"/>
      <w:r w:rsidRPr="00B74333">
        <w:rPr>
          <w:rFonts w:eastAsia="Calibri" w:cstheme="minorHAnsi"/>
          <w:color w:val="000000"/>
          <w:sz w:val="24"/>
          <w:szCs w:val="24"/>
          <w:lang w:bidi="en-US"/>
        </w:rPr>
        <w:t>, GR-152 31, registered under the Business Registry number (GEMI) 7483601000 (“</w:t>
      </w:r>
      <w:r w:rsidRPr="00B74333">
        <w:rPr>
          <w:rFonts w:eastAsia="Calibri" w:cstheme="minorHAnsi"/>
          <w:b/>
          <w:bCs/>
          <w:color w:val="000000"/>
          <w:sz w:val="24"/>
          <w:szCs w:val="24"/>
          <w:lang w:bidi="en-US"/>
        </w:rPr>
        <w:t>DESFA</w:t>
      </w:r>
      <w:r w:rsidRPr="00B74333">
        <w:rPr>
          <w:rFonts w:eastAsia="Calibri" w:cstheme="minorHAnsi"/>
          <w:color w:val="000000"/>
          <w:sz w:val="24"/>
          <w:szCs w:val="24"/>
          <w:lang w:bidi="en-US"/>
        </w:rPr>
        <w:t>”), duly represented by [•];</w:t>
      </w:r>
      <w:r w:rsidR="004F0D47"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and</w:t>
      </w:r>
    </w:p>
    <w:p w14:paraId="166CEDDF" w14:textId="77777777" w:rsidR="00192F18" w:rsidRPr="00B74333" w:rsidRDefault="00192F18">
      <w:pPr>
        <w:widowControl w:val="0"/>
        <w:numPr>
          <w:ilvl w:val="0"/>
          <w:numId w:val="40"/>
        </w:numPr>
        <w:tabs>
          <w:tab w:val="left" w:pos="430"/>
        </w:tabs>
        <w:spacing w:after="340" w:line="271" w:lineRule="auto"/>
        <w:jc w:val="both"/>
        <w:rPr>
          <w:rFonts w:eastAsia="Calibri" w:cstheme="minorHAnsi"/>
          <w:color w:val="000000"/>
          <w:sz w:val="24"/>
          <w:szCs w:val="24"/>
          <w:lang w:bidi="en-US"/>
        </w:rPr>
      </w:pPr>
      <w:bookmarkStart w:id="82" w:name="_Hlk146814588"/>
      <w:r w:rsidRPr="00B74333">
        <w:rPr>
          <w:rFonts w:eastAsia="Calibri" w:cstheme="minorHAnsi"/>
          <w:color w:val="000000"/>
          <w:sz w:val="24"/>
          <w:szCs w:val="24"/>
          <w:lang w:bidi="en-US"/>
        </w:rPr>
        <w:t>[•], a company incorporated and existing under the laws of [•], having its headquarters and registered office at [•], registered under the Business Registry number [•] (the "</w:t>
      </w:r>
      <w:r w:rsidRPr="00B74333">
        <w:rPr>
          <w:rFonts w:eastAsia="Calibri" w:cstheme="minorHAnsi"/>
          <w:b/>
          <w:bCs/>
          <w:color w:val="000000"/>
          <w:sz w:val="24"/>
          <w:szCs w:val="24"/>
          <w:lang w:bidi="en-US"/>
        </w:rPr>
        <w:t>Company</w:t>
      </w:r>
      <w:r w:rsidRPr="00B74333">
        <w:rPr>
          <w:rFonts w:eastAsia="Calibri" w:cstheme="minorHAnsi"/>
          <w:color w:val="000000"/>
          <w:sz w:val="24"/>
          <w:szCs w:val="24"/>
          <w:lang w:bidi="en-US"/>
        </w:rPr>
        <w:t>"), duly represented by [•</w:t>
      </w:r>
      <w:proofErr w:type="gramStart"/>
      <w:r w:rsidRPr="00B74333">
        <w:rPr>
          <w:rFonts w:eastAsia="Calibri" w:cstheme="minorHAnsi"/>
          <w:color w:val="000000"/>
          <w:sz w:val="24"/>
          <w:szCs w:val="24"/>
          <w:lang w:bidi="en-US"/>
        </w:rPr>
        <w:t>]</w:t>
      </w:r>
      <w:bookmarkEnd w:id="82"/>
      <w:r w:rsidRPr="00B74333">
        <w:rPr>
          <w:rFonts w:eastAsia="Calibri" w:cstheme="minorHAnsi"/>
          <w:color w:val="000000"/>
          <w:sz w:val="24"/>
          <w:szCs w:val="24"/>
          <w:lang w:bidi="en-US"/>
        </w:rPr>
        <w:t>;</w:t>
      </w:r>
      <w:proofErr w:type="gramEnd"/>
    </w:p>
    <w:p w14:paraId="6BEE486B" w14:textId="77777777" w:rsidR="00192F18" w:rsidRPr="00B74333" w:rsidRDefault="00192F18" w:rsidP="001A64A1">
      <w:pPr>
        <w:widowControl w:val="0"/>
        <w:spacing w:after="3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above parties may also be </w:t>
      </w:r>
      <w:proofErr w:type="gramStart"/>
      <w:r w:rsidRPr="00B74333">
        <w:rPr>
          <w:rFonts w:eastAsia="Calibri" w:cstheme="minorHAnsi"/>
          <w:color w:val="000000"/>
          <w:sz w:val="24"/>
          <w:szCs w:val="24"/>
          <w:lang w:bidi="en-US"/>
        </w:rPr>
        <w:t>referred</w:t>
      </w:r>
      <w:proofErr w:type="gramEnd"/>
      <w:r w:rsidRPr="00B74333">
        <w:rPr>
          <w:rFonts w:eastAsia="Calibri" w:cstheme="minorHAnsi"/>
          <w:color w:val="000000"/>
          <w:sz w:val="24"/>
          <w:szCs w:val="24"/>
          <w:lang w:bidi="en-US"/>
        </w:rPr>
        <w:t xml:space="preserve"> as “</w:t>
      </w:r>
      <w:r w:rsidRPr="00B74333">
        <w:rPr>
          <w:rFonts w:eastAsia="Calibri" w:cstheme="minorHAnsi"/>
          <w:b/>
          <w:bCs/>
          <w:color w:val="000000"/>
          <w:sz w:val="24"/>
          <w:szCs w:val="24"/>
          <w:lang w:bidi="en-US"/>
        </w:rPr>
        <w:t>Party</w:t>
      </w:r>
      <w:r w:rsidRPr="00B74333">
        <w:rPr>
          <w:rFonts w:eastAsia="Calibri" w:cstheme="minorHAnsi"/>
          <w:color w:val="000000"/>
          <w:sz w:val="24"/>
          <w:szCs w:val="24"/>
          <w:lang w:bidi="en-US"/>
        </w:rPr>
        <w:t>” and collectively as “</w:t>
      </w:r>
      <w:r w:rsidRPr="00B74333">
        <w:rPr>
          <w:rFonts w:eastAsia="Calibri" w:cstheme="minorHAnsi"/>
          <w:b/>
          <w:bCs/>
          <w:color w:val="000000"/>
          <w:sz w:val="24"/>
          <w:szCs w:val="24"/>
          <w:lang w:bidi="en-US"/>
        </w:rPr>
        <w:t>Parties</w:t>
      </w:r>
      <w:r w:rsidRPr="00B74333">
        <w:rPr>
          <w:rFonts w:eastAsia="Calibri" w:cstheme="minorHAnsi"/>
          <w:color w:val="000000"/>
          <w:sz w:val="24"/>
          <w:szCs w:val="24"/>
          <w:lang w:bidi="en-US"/>
        </w:rPr>
        <w:t>”.</w:t>
      </w:r>
    </w:p>
    <w:p w14:paraId="2F5D2ADB" w14:textId="77777777" w:rsidR="00192F18" w:rsidRPr="00B74333" w:rsidRDefault="00192F18" w:rsidP="001A64A1">
      <w:pPr>
        <w:rPr>
          <w:rFonts w:eastAsia="Calibri" w:cstheme="minorHAnsi"/>
          <w:b/>
          <w:bCs/>
          <w:color w:val="000000"/>
          <w:sz w:val="24"/>
          <w:szCs w:val="24"/>
          <w:lang w:bidi="en-US"/>
        </w:rPr>
      </w:pPr>
      <w:bookmarkStart w:id="83" w:name="bookmark26"/>
      <w:r w:rsidRPr="00B74333">
        <w:rPr>
          <w:rFonts w:eastAsia="Calibri" w:cstheme="minorHAnsi"/>
          <w:b/>
          <w:bCs/>
          <w:color w:val="000000"/>
          <w:sz w:val="24"/>
          <w:szCs w:val="24"/>
          <w:lang w:bidi="en-US"/>
        </w:rPr>
        <w:t>WHEREAS</w:t>
      </w:r>
      <w:bookmarkEnd w:id="83"/>
    </w:p>
    <w:p w14:paraId="2441E24F" w14:textId="68BFBA99" w:rsidR="00192F18" w:rsidRPr="00B74333" w:rsidRDefault="00192F18" w:rsidP="004F0FD1">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DESFA intends to implement the appropriate infrastructure developments of the DESFA System in order to offer incremental capacity at the </w:t>
      </w:r>
      <w:r w:rsidR="00F814D5" w:rsidRPr="00B74333">
        <w:rPr>
          <w:rStyle w:val="cf01"/>
          <w:rFonts w:asciiTheme="minorHAnsi" w:hAnsiTheme="minorHAnsi" w:cstheme="minorHAnsi"/>
          <w:sz w:val="24"/>
          <w:szCs w:val="24"/>
        </w:rPr>
        <w:t>[</w:t>
      </w:r>
      <w:r w:rsidR="00F814D5" w:rsidRPr="00B74333">
        <w:rPr>
          <w:rStyle w:val="cf11"/>
          <w:rFonts w:asciiTheme="minorHAnsi" w:hAnsiTheme="minorHAnsi" w:cstheme="minorHAnsi"/>
          <w:sz w:val="24"/>
          <w:szCs w:val="24"/>
        </w:rPr>
        <w:t>choose</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among</w:t>
      </w:r>
      <w:r w:rsidR="00F814D5" w:rsidRPr="00B74333">
        <w:rPr>
          <w:rStyle w:val="cf01"/>
          <w:rFonts w:asciiTheme="minorHAnsi" w:hAnsiTheme="minorHAnsi" w:cstheme="minorHAnsi"/>
          <w:sz w:val="24"/>
          <w:szCs w:val="24"/>
        </w:rPr>
        <w:t xml:space="preserve"> (i) to (</w:t>
      </w:r>
      <w:r w:rsidR="00F814D5" w:rsidRPr="00B74333">
        <w:rPr>
          <w:rStyle w:val="cf11"/>
          <w:rFonts w:asciiTheme="minorHAnsi" w:hAnsiTheme="minorHAnsi" w:cstheme="minorHAnsi"/>
          <w:sz w:val="24"/>
          <w:szCs w:val="24"/>
        </w:rPr>
        <w:t>ix</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as</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appropriate</w:t>
      </w:r>
      <w:r w:rsidR="00F814D5" w:rsidRPr="00B74333">
        <w:rPr>
          <w:rStyle w:val="cf01"/>
          <w:rFonts w:asciiTheme="minorHAnsi" w:hAnsiTheme="minorHAnsi" w:cstheme="minorHAnsi"/>
          <w:sz w:val="24"/>
          <w:szCs w:val="24"/>
        </w:rPr>
        <w:t xml:space="preserve"> and </w:t>
      </w:r>
      <w:r w:rsidR="00F814D5" w:rsidRPr="00B74333">
        <w:rPr>
          <w:rStyle w:val="cf11"/>
          <w:rFonts w:asciiTheme="minorHAnsi" w:hAnsiTheme="minorHAnsi" w:cstheme="minorHAnsi"/>
          <w:sz w:val="24"/>
          <w:szCs w:val="24"/>
        </w:rPr>
        <w:t>delete</w:t>
      </w:r>
      <w:r w:rsidR="00F814D5" w:rsidRPr="00B74333">
        <w:rPr>
          <w:rStyle w:val="cf01"/>
          <w:rFonts w:asciiTheme="minorHAnsi" w:hAnsiTheme="minorHAnsi" w:cstheme="minorHAnsi"/>
          <w:sz w:val="24"/>
          <w:szCs w:val="24"/>
        </w:rPr>
        <w:t xml:space="preserve"> the </w:t>
      </w:r>
      <w:r w:rsidR="00F814D5" w:rsidRPr="00B74333">
        <w:rPr>
          <w:rStyle w:val="cf11"/>
          <w:rFonts w:asciiTheme="minorHAnsi" w:hAnsiTheme="minorHAnsi" w:cstheme="minorHAnsi"/>
          <w:sz w:val="24"/>
          <w:szCs w:val="24"/>
        </w:rPr>
        <w:t>remaining</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cases</w:t>
      </w:r>
      <w:r w:rsidR="00F814D5" w:rsidRPr="00B74333">
        <w:rPr>
          <w:rStyle w:val="cf01"/>
          <w:rFonts w:asciiTheme="minorHAnsi" w:hAnsiTheme="minorHAnsi" w:cstheme="minorHAnsi"/>
          <w:sz w:val="24"/>
          <w:szCs w:val="24"/>
        </w:rPr>
        <w:t xml:space="preserve">: (i) </w:t>
      </w:r>
      <w:proofErr w:type="spellStart"/>
      <w:r w:rsidR="00F814D5" w:rsidRPr="00B74333">
        <w:rPr>
          <w:rStyle w:val="cf01"/>
          <w:rFonts w:asciiTheme="minorHAnsi" w:hAnsiTheme="minorHAnsi" w:cstheme="minorHAnsi"/>
          <w:sz w:val="24"/>
          <w:szCs w:val="24"/>
        </w:rPr>
        <w:t>Kulata</w:t>
      </w:r>
      <w:proofErr w:type="spellEnd"/>
      <w:r w:rsidR="00F814D5" w:rsidRPr="00B74333">
        <w:rPr>
          <w:rStyle w:val="cf01"/>
          <w:rFonts w:asciiTheme="minorHAnsi" w:hAnsiTheme="minorHAnsi" w:cstheme="minorHAnsi"/>
          <w:sz w:val="24"/>
          <w:szCs w:val="24"/>
        </w:rPr>
        <w:t>/</w:t>
      </w:r>
      <w:proofErr w:type="spellStart"/>
      <w:r w:rsidR="00F814D5" w:rsidRPr="00B74333">
        <w:rPr>
          <w:rStyle w:val="cf01"/>
          <w:rFonts w:asciiTheme="minorHAnsi" w:hAnsiTheme="minorHAnsi" w:cstheme="minorHAnsi"/>
          <w:sz w:val="24"/>
          <w:szCs w:val="24"/>
        </w:rPr>
        <w:t>Sidirokastro</w:t>
      </w:r>
      <w:proofErr w:type="spellEnd"/>
      <w:r w:rsidR="00F814D5" w:rsidRPr="00B74333">
        <w:rPr>
          <w:rStyle w:val="cf01"/>
          <w:rFonts w:asciiTheme="minorHAnsi" w:hAnsiTheme="minorHAnsi" w:cstheme="minorHAnsi"/>
          <w:sz w:val="24"/>
          <w:szCs w:val="24"/>
        </w:rPr>
        <w:t xml:space="preserve"> </w:t>
      </w:r>
      <w:r w:rsidR="00086E1D" w:rsidRPr="00B74333">
        <w:rPr>
          <w:rStyle w:val="cf01"/>
          <w:rFonts w:asciiTheme="minorHAnsi" w:hAnsiTheme="minorHAnsi" w:cstheme="minorHAnsi"/>
          <w:sz w:val="24"/>
          <w:szCs w:val="24"/>
        </w:rPr>
        <w:t xml:space="preserve">IP </w:t>
      </w:r>
      <w:r w:rsidR="00F814D5" w:rsidRPr="00B74333">
        <w:rPr>
          <w:rStyle w:val="cf01"/>
          <w:rFonts w:asciiTheme="minorHAnsi" w:hAnsiTheme="minorHAnsi" w:cstheme="minorHAnsi"/>
          <w:sz w:val="24"/>
          <w:szCs w:val="24"/>
        </w:rPr>
        <w:t>(</w:t>
      </w:r>
      <w:r w:rsidR="00F814D5" w:rsidRPr="00B74333">
        <w:rPr>
          <w:rStyle w:val="cf11"/>
          <w:rFonts w:asciiTheme="minorHAnsi" w:hAnsiTheme="minorHAnsi" w:cstheme="minorHAnsi"/>
          <w:sz w:val="24"/>
          <w:szCs w:val="24"/>
        </w:rPr>
        <w:t>Exit</w:t>
      </w:r>
      <w:r w:rsidR="00F814D5" w:rsidRPr="00B74333">
        <w:rPr>
          <w:rStyle w:val="cf01"/>
          <w:rFonts w:asciiTheme="minorHAnsi" w:hAnsiTheme="minorHAnsi" w:cstheme="minorHAnsi"/>
          <w:sz w:val="24"/>
          <w:szCs w:val="24"/>
        </w:rPr>
        <w:t xml:space="preserve"> DESFA), (</w:t>
      </w:r>
      <w:r w:rsidR="00F814D5" w:rsidRPr="00B74333">
        <w:rPr>
          <w:rStyle w:val="cf11"/>
          <w:rFonts w:asciiTheme="minorHAnsi" w:hAnsiTheme="minorHAnsi" w:cstheme="minorHAnsi"/>
          <w:sz w:val="24"/>
          <w:szCs w:val="24"/>
        </w:rPr>
        <w:t>ii</w:t>
      </w:r>
      <w:r w:rsidR="00F814D5" w:rsidRPr="00B74333">
        <w:rPr>
          <w:rStyle w:val="cf01"/>
          <w:rFonts w:asciiTheme="minorHAnsi" w:hAnsiTheme="minorHAnsi" w:cstheme="minorHAnsi"/>
          <w:sz w:val="24"/>
          <w:szCs w:val="24"/>
        </w:rPr>
        <w:t xml:space="preserve">) Komotini </w:t>
      </w:r>
      <w:r w:rsidR="00086E1D" w:rsidRPr="00B74333">
        <w:rPr>
          <w:rStyle w:val="cf01"/>
          <w:rFonts w:asciiTheme="minorHAnsi" w:hAnsiTheme="minorHAnsi" w:cstheme="minorHAnsi"/>
          <w:sz w:val="24"/>
          <w:szCs w:val="24"/>
        </w:rPr>
        <w:t>IP</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Exit</w:t>
      </w:r>
      <w:r w:rsidR="00F814D5" w:rsidRPr="00B74333">
        <w:rPr>
          <w:rStyle w:val="cf01"/>
          <w:rFonts w:asciiTheme="minorHAnsi" w:hAnsiTheme="minorHAnsi" w:cstheme="minorHAnsi"/>
          <w:sz w:val="24"/>
          <w:szCs w:val="24"/>
        </w:rPr>
        <w:t xml:space="preserve"> DESFA), (</w:t>
      </w:r>
      <w:r w:rsidR="00F814D5" w:rsidRPr="00B74333">
        <w:rPr>
          <w:rStyle w:val="cf11"/>
          <w:rFonts w:asciiTheme="minorHAnsi" w:hAnsiTheme="minorHAnsi" w:cstheme="minorHAnsi"/>
          <w:sz w:val="24"/>
          <w:szCs w:val="24"/>
        </w:rPr>
        <w:t>iii</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Nea</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 xml:space="preserve">Messimvria </w:t>
      </w:r>
      <w:r w:rsidR="00086E1D" w:rsidRPr="00B74333">
        <w:rPr>
          <w:rStyle w:val="cf11"/>
          <w:rFonts w:asciiTheme="minorHAnsi" w:hAnsiTheme="minorHAnsi" w:cstheme="minorHAnsi"/>
          <w:sz w:val="24"/>
          <w:szCs w:val="24"/>
        </w:rPr>
        <w:t>IP</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Exit</w:t>
      </w:r>
      <w:r w:rsidR="00F814D5" w:rsidRPr="00B74333">
        <w:rPr>
          <w:rStyle w:val="cf01"/>
          <w:rFonts w:asciiTheme="minorHAnsi" w:hAnsiTheme="minorHAnsi" w:cstheme="minorHAnsi"/>
          <w:sz w:val="24"/>
          <w:szCs w:val="24"/>
        </w:rPr>
        <w:t xml:space="preserve"> DESFA), (</w:t>
      </w:r>
      <w:r w:rsidR="00F814D5" w:rsidRPr="00B74333">
        <w:rPr>
          <w:rStyle w:val="cf11"/>
          <w:rFonts w:asciiTheme="minorHAnsi" w:hAnsiTheme="minorHAnsi" w:cstheme="minorHAnsi"/>
          <w:sz w:val="24"/>
          <w:szCs w:val="24"/>
        </w:rPr>
        <w:t>iv</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Nea</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 xml:space="preserve">Messimvria </w:t>
      </w:r>
      <w:r w:rsidR="00086E1D" w:rsidRPr="00B74333">
        <w:rPr>
          <w:rStyle w:val="cf11"/>
          <w:rFonts w:asciiTheme="minorHAnsi" w:hAnsiTheme="minorHAnsi" w:cstheme="minorHAnsi"/>
          <w:sz w:val="24"/>
          <w:szCs w:val="24"/>
        </w:rPr>
        <w:t>IP</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Entry</w:t>
      </w:r>
      <w:r w:rsidR="00F814D5" w:rsidRPr="00B74333">
        <w:rPr>
          <w:rStyle w:val="cf01"/>
          <w:rFonts w:asciiTheme="minorHAnsi" w:hAnsiTheme="minorHAnsi" w:cstheme="minorHAnsi"/>
          <w:sz w:val="24"/>
          <w:szCs w:val="24"/>
        </w:rPr>
        <w:t xml:space="preserve"> DESFA), (v) Amfitriti </w:t>
      </w:r>
      <w:r w:rsidR="00581B80" w:rsidRPr="00B74333">
        <w:rPr>
          <w:rStyle w:val="cf01"/>
          <w:rFonts w:asciiTheme="minorHAnsi" w:hAnsiTheme="minorHAnsi" w:cstheme="minorHAnsi"/>
          <w:sz w:val="24"/>
          <w:szCs w:val="24"/>
        </w:rPr>
        <w:t xml:space="preserve">entry point </w:t>
      </w:r>
      <w:r w:rsidR="00F814D5" w:rsidRPr="00B74333">
        <w:rPr>
          <w:rStyle w:val="cf11"/>
          <w:rFonts w:asciiTheme="minorHAnsi" w:hAnsiTheme="minorHAnsi" w:cstheme="minorHAnsi"/>
          <w:sz w:val="24"/>
          <w:szCs w:val="24"/>
        </w:rPr>
        <w:t>(Entry</w:t>
      </w:r>
      <w:r w:rsidR="00F814D5" w:rsidRPr="00B74333">
        <w:rPr>
          <w:rStyle w:val="cf01"/>
          <w:rFonts w:asciiTheme="minorHAnsi" w:hAnsiTheme="minorHAnsi" w:cstheme="minorHAnsi"/>
          <w:sz w:val="24"/>
          <w:szCs w:val="24"/>
        </w:rPr>
        <w:t xml:space="preserve"> DESFA), (</w:t>
      </w:r>
      <w:r w:rsidR="00F814D5" w:rsidRPr="00B74333">
        <w:rPr>
          <w:rStyle w:val="cf11"/>
          <w:rFonts w:asciiTheme="minorHAnsi" w:hAnsiTheme="minorHAnsi" w:cstheme="minorHAnsi"/>
          <w:sz w:val="24"/>
          <w:szCs w:val="24"/>
        </w:rPr>
        <w:t>vi</w:t>
      </w:r>
      <w:r w:rsidR="00F814D5" w:rsidRPr="00B74333">
        <w:rPr>
          <w:rStyle w:val="cf01"/>
          <w:rFonts w:asciiTheme="minorHAnsi" w:hAnsiTheme="minorHAnsi" w:cstheme="minorHAnsi"/>
          <w:sz w:val="24"/>
          <w:szCs w:val="24"/>
        </w:rPr>
        <w:t xml:space="preserve">) </w:t>
      </w:r>
      <w:r w:rsidR="00F814D5" w:rsidRPr="00B74333">
        <w:rPr>
          <w:rStyle w:val="cf11"/>
          <w:rFonts w:asciiTheme="minorHAnsi" w:hAnsiTheme="minorHAnsi" w:cstheme="minorHAnsi"/>
          <w:sz w:val="24"/>
          <w:szCs w:val="24"/>
        </w:rPr>
        <w:t>Kipi</w:t>
      </w:r>
      <w:r w:rsidR="00086E1D" w:rsidRPr="00B74333">
        <w:rPr>
          <w:rStyle w:val="cf11"/>
          <w:rFonts w:asciiTheme="minorHAnsi" w:hAnsiTheme="minorHAnsi" w:cstheme="minorHAnsi"/>
          <w:sz w:val="24"/>
          <w:szCs w:val="24"/>
        </w:rPr>
        <w:t xml:space="preserve"> IP</w:t>
      </w:r>
      <w:r w:rsidR="00F814D5" w:rsidRPr="00B74333">
        <w:rPr>
          <w:rStyle w:val="cf11"/>
          <w:rFonts w:asciiTheme="minorHAnsi" w:hAnsiTheme="minorHAnsi" w:cstheme="minorHAnsi"/>
          <w:sz w:val="24"/>
          <w:szCs w:val="24"/>
        </w:rPr>
        <w:t xml:space="preserve"> (Entry</w:t>
      </w:r>
      <w:r w:rsidR="00F814D5" w:rsidRPr="00B74333">
        <w:rPr>
          <w:rStyle w:val="cf01"/>
          <w:rFonts w:asciiTheme="minorHAnsi" w:hAnsiTheme="minorHAnsi" w:cstheme="minorHAnsi"/>
          <w:sz w:val="24"/>
          <w:szCs w:val="24"/>
        </w:rPr>
        <w:t xml:space="preserve"> DESFA), (</w:t>
      </w:r>
      <w:r w:rsidR="00F814D5" w:rsidRPr="00B74333">
        <w:rPr>
          <w:rStyle w:val="cf11"/>
          <w:rFonts w:asciiTheme="minorHAnsi" w:hAnsiTheme="minorHAnsi" w:cstheme="minorHAnsi"/>
          <w:sz w:val="24"/>
          <w:szCs w:val="24"/>
        </w:rPr>
        <w:t>vii</w:t>
      </w:r>
      <w:r w:rsidR="00F814D5" w:rsidRPr="00B74333">
        <w:rPr>
          <w:rStyle w:val="cf01"/>
          <w:rFonts w:asciiTheme="minorHAnsi" w:hAnsiTheme="minorHAnsi" w:cstheme="minorHAnsi"/>
          <w:sz w:val="24"/>
          <w:szCs w:val="24"/>
        </w:rPr>
        <w:t xml:space="preserve">) New </w:t>
      </w:r>
      <w:r w:rsidR="00A7494A" w:rsidRPr="00B74333">
        <w:rPr>
          <w:rStyle w:val="cf11"/>
          <w:rFonts w:asciiTheme="minorHAnsi" w:hAnsiTheme="minorHAnsi" w:cstheme="minorHAnsi"/>
          <w:sz w:val="24"/>
          <w:szCs w:val="24"/>
        </w:rPr>
        <w:t>e</w:t>
      </w:r>
      <w:r w:rsidR="00F814D5" w:rsidRPr="00B74333">
        <w:rPr>
          <w:rStyle w:val="cf11"/>
          <w:rFonts w:asciiTheme="minorHAnsi" w:hAnsiTheme="minorHAnsi" w:cstheme="minorHAnsi"/>
          <w:sz w:val="24"/>
          <w:szCs w:val="24"/>
        </w:rPr>
        <w:t>ntry</w:t>
      </w:r>
      <w:r w:rsidR="00F814D5" w:rsidRPr="00B74333">
        <w:rPr>
          <w:rStyle w:val="cf01"/>
          <w:rFonts w:asciiTheme="minorHAnsi" w:hAnsiTheme="minorHAnsi" w:cstheme="minorHAnsi"/>
          <w:sz w:val="24"/>
          <w:szCs w:val="24"/>
        </w:rPr>
        <w:t xml:space="preserve"> </w:t>
      </w:r>
      <w:r w:rsidR="00A7494A" w:rsidRPr="00B74333">
        <w:rPr>
          <w:rStyle w:val="cf11"/>
          <w:rFonts w:asciiTheme="minorHAnsi" w:hAnsiTheme="minorHAnsi" w:cstheme="minorHAnsi"/>
          <w:sz w:val="24"/>
          <w:szCs w:val="24"/>
        </w:rPr>
        <w:t>p</w:t>
      </w:r>
      <w:r w:rsidR="00F814D5" w:rsidRPr="00B74333">
        <w:rPr>
          <w:rStyle w:val="cf11"/>
          <w:rFonts w:asciiTheme="minorHAnsi" w:hAnsiTheme="minorHAnsi" w:cstheme="minorHAnsi"/>
          <w:sz w:val="24"/>
          <w:szCs w:val="24"/>
        </w:rPr>
        <w:t>oint</w:t>
      </w:r>
      <w:r w:rsidR="00F814D5" w:rsidRPr="00B74333">
        <w:rPr>
          <w:rStyle w:val="cf01"/>
          <w:rFonts w:asciiTheme="minorHAnsi" w:hAnsiTheme="minorHAnsi" w:cstheme="minorHAnsi"/>
          <w:sz w:val="24"/>
          <w:szCs w:val="24"/>
        </w:rPr>
        <w:t xml:space="preserve"> ELPEDISON FSRU </w:t>
      </w:r>
      <w:r w:rsidR="00F814D5" w:rsidRPr="00B74333">
        <w:rPr>
          <w:rStyle w:val="cf11"/>
          <w:rFonts w:asciiTheme="minorHAnsi" w:hAnsiTheme="minorHAnsi" w:cstheme="minorHAnsi"/>
          <w:sz w:val="24"/>
          <w:szCs w:val="24"/>
        </w:rPr>
        <w:t>(Entry</w:t>
      </w:r>
      <w:r w:rsidR="00F814D5" w:rsidRPr="00B74333">
        <w:rPr>
          <w:rStyle w:val="cf01"/>
          <w:rFonts w:asciiTheme="minorHAnsi" w:hAnsiTheme="minorHAnsi" w:cstheme="minorHAnsi"/>
          <w:sz w:val="24"/>
          <w:szCs w:val="24"/>
        </w:rPr>
        <w:t xml:space="preserve"> DESFA) , (</w:t>
      </w:r>
      <w:r w:rsidR="00F814D5" w:rsidRPr="00B74333">
        <w:rPr>
          <w:rStyle w:val="cf11"/>
          <w:rFonts w:asciiTheme="minorHAnsi" w:hAnsiTheme="minorHAnsi" w:cstheme="minorHAnsi"/>
          <w:sz w:val="24"/>
          <w:szCs w:val="24"/>
        </w:rPr>
        <w:t>viii</w:t>
      </w:r>
      <w:r w:rsidR="00F814D5" w:rsidRPr="00B74333">
        <w:rPr>
          <w:rStyle w:val="cf01"/>
          <w:rFonts w:asciiTheme="minorHAnsi" w:hAnsiTheme="minorHAnsi" w:cstheme="minorHAnsi"/>
          <w:sz w:val="24"/>
          <w:szCs w:val="24"/>
        </w:rPr>
        <w:t xml:space="preserve">) </w:t>
      </w:r>
      <w:r w:rsidR="00F814D5" w:rsidRPr="00B74333">
        <w:rPr>
          <w:rStyle w:val="cf21"/>
          <w:rFonts w:asciiTheme="minorHAnsi" w:hAnsiTheme="minorHAnsi" w:cstheme="minorHAnsi"/>
          <w:sz w:val="24"/>
          <w:szCs w:val="24"/>
        </w:rPr>
        <w:t xml:space="preserve">New </w:t>
      </w:r>
      <w:r w:rsidR="00A7494A" w:rsidRPr="00B74333">
        <w:rPr>
          <w:rStyle w:val="cf31"/>
          <w:rFonts w:asciiTheme="minorHAnsi" w:hAnsiTheme="minorHAnsi" w:cstheme="minorHAnsi"/>
          <w:sz w:val="24"/>
          <w:szCs w:val="24"/>
        </w:rPr>
        <w:t>e</w:t>
      </w:r>
      <w:r w:rsidR="00F814D5" w:rsidRPr="00B74333">
        <w:rPr>
          <w:rStyle w:val="cf31"/>
          <w:rFonts w:asciiTheme="minorHAnsi" w:hAnsiTheme="minorHAnsi" w:cstheme="minorHAnsi"/>
          <w:sz w:val="24"/>
          <w:szCs w:val="24"/>
        </w:rPr>
        <w:t>ntry</w:t>
      </w:r>
      <w:r w:rsidR="00F814D5" w:rsidRPr="00B74333">
        <w:rPr>
          <w:rStyle w:val="cf21"/>
          <w:rFonts w:asciiTheme="minorHAnsi" w:hAnsiTheme="minorHAnsi" w:cstheme="minorHAnsi"/>
          <w:sz w:val="24"/>
          <w:szCs w:val="24"/>
        </w:rPr>
        <w:t xml:space="preserve"> </w:t>
      </w:r>
      <w:r w:rsidR="00A7494A" w:rsidRPr="00B74333">
        <w:rPr>
          <w:rStyle w:val="cf31"/>
          <w:rFonts w:asciiTheme="minorHAnsi" w:hAnsiTheme="minorHAnsi" w:cstheme="minorHAnsi"/>
          <w:sz w:val="24"/>
          <w:szCs w:val="24"/>
        </w:rPr>
        <w:t>p</w:t>
      </w:r>
      <w:r w:rsidR="00F814D5" w:rsidRPr="00B74333">
        <w:rPr>
          <w:rStyle w:val="cf31"/>
          <w:rFonts w:asciiTheme="minorHAnsi" w:hAnsiTheme="minorHAnsi" w:cstheme="minorHAnsi"/>
          <w:sz w:val="24"/>
          <w:szCs w:val="24"/>
        </w:rPr>
        <w:t>oint</w:t>
      </w:r>
      <w:r w:rsidR="00F814D5" w:rsidRPr="00B74333">
        <w:rPr>
          <w:rStyle w:val="cf21"/>
          <w:rFonts w:asciiTheme="minorHAnsi" w:hAnsiTheme="minorHAnsi" w:cstheme="minorHAnsi"/>
          <w:sz w:val="24"/>
          <w:szCs w:val="24"/>
        </w:rPr>
        <w:t xml:space="preserve"> </w:t>
      </w:r>
      <w:r w:rsidR="00F814D5" w:rsidRPr="00B74333">
        <w:rPr>
          <w:rStyle w:val="cf31"/>
          <w:rFonts w:asciiTheme="minorHAnsi" w:hAnsiTheme="minorHAnsi" w:cstheme="minorHAnsi"/>
          <w:sz w:val="24"/>
          <w:szCs w:val="24"/>
        </w:rPr>
        <w:t>–</w:t>
      </w:r>
      <w:r w:rsidR="00F814D5" w:rsidRPr="00B74333">
        <w:rPr>
          <w:rStyle w:val="cf21"/>
          <w:rFonts w:asciiTheme="minorHAnsi" w:hAnsiTheme="minorHAnsi" w:cstheme="minorHAnsi"/>
          <w:sz w:val="24"/>
          <w:szCs w:val="24"/>
        </w:rPr>
        <w:t xml:space="preserve"> ARGO FSRU </w:t>
      </w:r>
      <w:r w:rsidR="00F814D5" w:rsidRPr="00B74333">
        <w:rPr>
          <w:rStyle w:val="cf11"/>
          <w:rFonts w:asciiTheme="minorHAnsi" w:hAnsiTheme="minorHAnsi" w:cstheme="minorHAnsi"/>
          <w:sz w:val="24"/>
          <w:szCs w:val="24"/>
        </w:rPr>
        <w:t>(Entry</w:t>
      </w:r>
      <w:r w:rsidR="00F814D5" w:rsidRPr="00B74333">
        <w:rPr>
          <w:rStyle w:val="cf01"/>
          <w:rFonts w:asciiTheme="minorHAnsi" w:hAnsiTheme="minorHAnsi" w:cstheme="minorHAnsi"/>
          <w:sz w:val="24"/>
          <w:szCs w:val="24"/>
        </w:rPr>
        <w:t xml:space="preserve"> DESFA) </w:t>
      </w:r>
      <w:r w:rsidR="00F814D5" w:rsidRPr="00B74333">
        <w:rPr>
          <w:rStyle w:val="cf21"/>
          <w:rFonts w:asciiTheme="minorHAnsi" w:hAnsiTheme="minorHAnsi" w:cstheme="minorHAnsi"/>
          <w:sz w:val="24"/>
          <w:szCs w:val="24"/>
        </w:rPr>
        <w:t>and (</w:t>
      </w:r>
      <w:r w:rsidR="00F814D5" w:rsidRPr="00B74333">
        <w:rPr>
          <w:rStyle w:val="cf31"/>
          <w:rFonts w:asciiTheme="minorHAnsi" w:hAnsiTheme="minorHAnsi" w:cstheme="minorHAnsi"/>
          <w:sz w:val="24"/>
          <w:szCs w:val="24"/>
        </w:rPr>
        <w:t>ix</w:t>
      </w:r>
      <w:r w:rsidR="00F814D5" w:rsidRPr="00B74333">
        <w:rPr>
          <w:rStyle w:val="cf21"/>
          <w:rFonts w:asciiTheme="minorHAnsi" w:hAnsiTheme="minorHAnsi" w:cstheme="minorHAnsi"/>
          <w:sz w:val="24"/>
          <w:szCs w:val="24"/>
        </w:rPr>
        <w:t xml:space="preserve">) New </w:t>
      </w:r>
      <w:r w:rsidR="00A7494A" w:rsidRPr="00B74333">
        <w:rPr>
          <w:rStyle w:val="cf31"/>
          <w:rFonts w:asciiTheme="minorHAnsi" w:hAnsiTheme="minorHAnsi" w:cstheme="minorHAnsi"/>
          <w:sz w:val="24"/>
          <w:szCs w:val="24"/>
        </w:rPr>
        <w:t>e</w:t>
      </w:r>
      <w:r w:rsidR="00F814D5" w:rsidRPr="00B74333">
        <w:rPr>
          <w:rStyle w:val="cf31"/>
          <w:rFonts w:asciiTheme="minorHAnsi" w:hAnsiTheme="minorHAnsi" w:cstheme="minorHAnsi"/>
          <w:sz w:val="24"/>
          <w:szCs w:val="24"/>
        </w:rPr>
        <w:t>ntry</w:t>
      </w:r>
      <w:r w:rsidR="00F814D5" w:rsidRPr="00B74333">
        <w:rPr>
          <w:rStyle w:val="cf21"/>
          <w:rFonts w:asciiTheme="minorHAnsi" w:hAnsiTheme="minorHAnsi" w:cstheme="minorHAnsi"/>
          <w:sz w:val="24"/>
          <w:szCs w:val="24"/>
        </w:rPr>
        <w:t xml:space="preserve"> </w:t>
      </w:r>
      <w:r w:rsidR="00A7494A" w:rsidRPr="00B74333">
        <w:rPr>
          <w:rStyle w:val="cf31"/>
          <w:rFonts w:asciiTheme="minorHAnsi" w:hAnsiTheme="minorHAnsi" w:cstheme="minorHAnsi"/>
          <w:sz w:val="24"/>
          <w:szCs w:val="24"/>
        </w:rPr>
        <w:t>p</w:t>
      </w:r>
      <w:r w:rsidR="00F814D5" w:rsidRPr="00B74333">
        <w:rPr>
          <w:rStyle w:val="cf31"/>
          <w:rFonts w:asciiTheme="minorHAnsi" w:hAnsiTheme="minorHAnsi" w:cstheme="minorHAnsi"/>
          <w:sz w:val="24"/>
          <w:szCs w:val="24"/>
        </w:rPr>
        <w:t>oint</w:t>
      </w:r>
      <w:r w:rsidR="00F814D5" w:rsidRPr="00B74333">
        <w:rPr>
          <w:rStyle w:val="cf21"/>
          <w:rFonts w:asciiTheme="minorHAnsi" w:hAnsiTheme="minorHAnsi" w:cstheme="minorHAnsi"/>
          <w:sz w:val="24"/>
          <w:szCs w:val="24"/>
        </w:rPr>
        <w:t xml:space="preserve"> </w:t>
      </w:r>
      <w:r w:rsidR="00F814D5" w:rsidRPr="00B74333">
        <w:rPr>
          <w:rStyle w:val="cf31"/>
          <w:rFonts w:asciiTheme="minorHAnsi" w:hAnsiTheme="minorHAnsi" w:cstheme="minorHAnsi"/>
          <w:sz w:val="24"/>
          <w:szCs w:val="24"/>
        </w:rPr>
        <w:t>–</w:t>
      </w:r>
      <w:r w:rsidR="00F814D5" w:rsidRPr="00B74333">
        <w:rPr>
          <w:rStyle w:val="cf21"/>
          <w:rFonts w:asciiTheme="minorHAnsi" w:hAnsiTheme="minorHAnsi" w:cstheme="minorHAnsi"/>
          <w:sz w:val="24"/>
          <w:szCs w:val="24"/>
        </w:rPr>
        <w:t xml:space="preserve"> DIORYGA GAS FSRU </w:t>
      </w:r>
      <w:r w:rsidR="00F814D5" w:rsidRPr="00B74333">
        <w:rPr>
          <w:rStyle w:val="cf11"/>
          <w:rFonts w:asciiTheme="minorHAnsi" w:hAnsiTheme="minorHAnsi" w:cstheme="minorHAnsi"/>
          <w:sz w:val="24"/>
          <w:szCs w:val="24"/>
        </w:rPr>
        <w:t>(Entry</w:t>
      </w:r>
      <w:r w:rsidR="00F814D5" w:rsidRPr="00B74333">
        <w:rPr>
          <w:rStyle w:val="cf01"/>
          <w:rFonts w:asciiTheme="minorHAnsi" w:hAnsiTheme="minorHAnsi" w:cstheme="minorHAnsi"/>
          <w:sz w:val="24"/>
          <w:szCs w:val="24"/>
        </w:rPr>
        <w:t xml:space="preserve"> DESFA)</w:t>
      </w:r>
      <w:r w:rsidR="00F814D5" w:rsidRPr="00B74333">
        <w:rPr>
          <w:rStyle w:val="cf21"/>
          <w:rFonts w:asciiTheme="minorHAnsi" w:hAnsiTheme="minorHAnsi" w:cstheme="minorHAnsi"/>
          <w:sz w:val="24"/>
          <w:szCs w:val="24"/>
        </w:rPr>
        <w:t>]</w:t>
      </w:r>
      <w:r w:rsidR="00841FD2" w:rsidRPr="00B74333">
        <w:rPr>
          <w:rStyle w:val="cf21"/>
          <w:rFonts w:asciiTheme="minorHAnsi" w:hAnsiTheme="minorHAnsi" w:cstheme="minorHAnsi"/>
          <w:sz w:val="24"/>
          <w:szCs w:val="24"/>
        </w:rPr>
        <w:t xml:space="preserve"> </w:t>
      </w:r>
      <w:r w:rsidRPr="00B74333">
        <w:rPr>
          <w:rFonts w:eastAsia="Calibri" w:cstheme="minorHAnsi"/>
          <w:color w:val="000000"/>
          <w:sz w:val="24"/>
          <w:szCs w:val="24"/>
          <w:lang w:bidi="en-US"/>
        </w:rPr>
        <w:t>according to the</w:t>
      </w:r>
      <w:r w:rsidR="00177FEE" w:rsidRPr="00B74333">
        <w:rPr>
          <w:rFonts w:eastAsia="Calibri" w:cstheme="minorHAnsi"/>
          <w:color w:val="000000"/>
          <w:sz w:val="24"/>
          <w:szCs w:val="24"/>
          <w:lang w:bidi="en-US"/>
        </w:rPr>
        <w:t xml:space="preserve"> Guidelines </w:t>
      </w:r>
      <w:r w:rsidRPr="00B74333">
        <w:rPr>
          <w:rFonts w:eastAsia="Calibri" w:cstheme="minorHAnsi"/>
          <w:color w:val="000000"/>
          <w:sz w:val="24"/>
          <w:szCs w:val="24"/>
          <w:lang w:bidi="en-US"/>
        </w:rPr>
        <w:t xml:space="preserve"> Section </w:t>
      </w:r>
      <w:r w:rsidR="006A33B7" w:rsidRPr="00B74333">
        <w:rPr>
          <w:rFonts w:eastAsia="Calibri" w:cstheme="minorHAnsi"/>
          <w:color w:val="000000"/>
          <w:sz w:val="24"/>
          <w:szCs w:val="24"/>
          <w:lang w:bidi="en-US"/>
        </w:rPr>
        <w:t>1</w:t>
      </w:r>
      <w:r w:rsidRPr="00B74333">
        <w:rPr>
          <w:rFonts w:eastAsia="Calibri" w:cstheme="minorHAnsi"/>
          <w:color w:val="000000"/>
          <w:sz w:val="24"/>
          <w:szCs w:val="24"/>
          <w:lang w:bidi="en-US"/>
        </w:rPr>
        <w:t>.2,</w:t>
      </w:r>
      <w:r w:rsidR="004F0FD1" w:rsidRPr="00B74333">
        <w:rPr>
          <w:rFonts w:eastAsia="Calibri" w:cstheme="minorHAnsi"/>
          <w:color w:val="000000"/>
          <w:sz w:val="24"/>
          <w:szCs w:val="24"/>
          <w:lang w:bidi="en-US"/>
        </w:rPr>
        <w:t xml:space="preserve"> </w:t>
      </w:r>
      <w:bookmarkStart w:id="84" w:name="_Toc29982370"/>
      <w:bookmarkStart w:id="85" w:name="_Ref153884088"/>
      <w:bookmarkStart w:id="86" w:name="_Ref156830758"/>
      <w:bookmarkStart w:id="87" w:name="_Ref156834117"/>
      <w:bookmarkStart w:id="88" w:name="_Toc156839798"/>
      <w:bookmarkStart w:id="89" w:name="_Ref156921554"/>
      <w:bookmarkStart w:id="90" w:name="_Toc724511299"/>
      <w:bookmarkStart w:id="91" w:name="_Toc157696874"/>
      <w:bookmarkStart w:id="92" w:name="_Toc1731550474"/>
      <w:bookmarkStart w:id="93" w:name="_Toc161411796"/>
      <w:r w:rsidR="004F0FD1" w:rsidRPr="00B74333">
        <w:rPr>
          <w:rFonts w:eastAsia="Calibri" w:cstheme="minorHAnsi"/>
          <w:color w:val="000000"/>
          <w:sz w:val="24"/>
          <w:szCs w:val="24"/>
          <w:lang w:bidi="en-US"/>
        </w:rPr>
        <w:t xml:space="preserve">Description of the Incremental Capacity </w:t>
      </w:r>
      <w:bookmarkEnd w:id="84"/>
      <w:bookmarkEnd w:id="85"/>
      <w:bookmarkEnd w:id="86"/>
      <w:bookmarkEnd w:id="87"/>
      <w:bookmarkEnd w:id="88"/>
      <w:bookmarkEnd w:id="89"/>
      <w:bookmarkEnd w:id="90"/>
      <w:bookmarkEnd w:id="91"/>
      <w:r w:rsidR="004F0FD1" w:rsidRPr="00B74333">
        <w:rPr>
          <w:rFonts w:eastAsia="Calibri" w:cstheme="minorHAnsi"/>
          <w:color w:val="000000"/>
          <w:sz w:val="24"/>
          <w:szCs w:val="24"/>
          <w:lang w:bidi="en-US"/>
        </w:rPr>
        <w:t>Project</w:t>
      </w:r>
      <w:bookmarkEnd w:id="92"/>
      <w:bookmarkEnd w:id="93"/>
      <w:r w:rsidR="00DC6054" w:rsidRPr="00B74333">
        <w:rPr>
          <w:rFonts w:eastAsia="Calibri" w:cstheme="minorHAnsi"/>
          <w:color w:val="000000"/>
          <w:sz w:val="24"/>
          <w:szCs w:val="24"/>
          <w:lang w:bidi="en-US"/>
        </w:rPr>
        <w:t xml:space="preserve">, </w:t>
      </w:r>
      <w:r w:rsidR="003378D5" w:rsidRPr="00B74333">
        <w:rPr>
          <w:rFonts w:eastAsia="Calibri" w:cstheme="minorHAnsi"/>
          <w:i/>
          <w:iCs/>
          <w:color w:val="000000"/>
          <w:sz w:val="24"/>
          <w:szCs w:val="24"/>
          <w:lang w:bidi="en-US"/>
        </w:rPr>
        <w:t>[</w:t>
      </w:r>
      <w:r w:rsidR="00941666" w:rsidRPr="00B74333">
        <w:rPr>
          <w:rFonts w:eastAsia="Calibri" w:cstheme="minorHAnsi"/>
          <w:i/>
          <w:iCs/>
          <w:color w:val="000000"/>
          <w:sz w:val="24"/>
          <w:szCs w:val="24"/>
          <w:lang w:bidi="en-US"/>
        </w:rPr>
        <w:t xml:space="preserve">choose among (i) to (iii) as appropriate and delete the remaining cases: </w:t>
      </w:r>
      <w:r w:rsidR="00200723" w:rsidRPr="00B74333">
        <w:rPr>
          <w:rFonts w:eastAsia="Calibri" w:cstheme="minorHAnsi"/>
          <w:i/>
          <w:iCs/>
          <w:color w:val="000000"/>
          <w:sz w:val="24"/>
          <w:szCs w:val="24"/>
          <w:lang w:bidi="en-US"/>
        </w:rPr>
        <w:t xml:space="preserve">(i) “Limited Expansion Project”, (ii) “Partial Expansion Project” or </w:t>
      </w:r>
      <w:r w:rsidR="00941666" w:rsidRPr="00B74333">
        <w:rPr>
          <w:rFonts w:eastAsia="Calibri" w:cstheme="minorHAnsi"/>
          <w:i/>
          <w:iCs/>
          <w:color w:val="000000"/>
          <w:sz w:val="24"/>
          <w:szCs w:val="24"/>
          <w:lang w:bidi="en-US"/>
        </w:rPr>
        <w:t>(</w:t>
      </w:r>
      <w:r w:rsidR="00200723" w:rsidRPr="00B74333">
        <w:rPr>
          <w:rFonts w:eastAsia="Calibri" w:cstheme="minorHAnsi"/>
          <w:i/>
          <w:iCs/>
          <w:color w:val="000000"/>
          <w:sz w:val="24"/>
          <w:szCs w:val="24"/>
          <w:lang w:bidi="en-US"/>
        </w:rPr>
        <w:t>ii</w:t>
      </w:r>
      <w:r w:rsidR="00941666" w:rsidRPr="00B74333">
        <w:rPr>
          <w:rFonts w:eastAsia="Calibri" w:cstheme="minorHAnsi"/>
          <w:i/>
          <w:iCs/>
          <w:color w:val="000000"/>
          <w:sz w:val="24"/>
          <w:szCs w:val="24"/>
          <w:lang w:bidi="en-US"/>
        </w:rPr>
        <w:t>i) “</w:t>
      </w:r>
      <w:r w:rsidR="00B5679C" w:rsidRPr="00B74333">
        <w:rPr>
          <w:rFonts w:eastAsia="Calibri" w:cstheme="minorHAnsi"/>
          <w:i/>
          <w:iCs/>
          <w:color w:val="000000"/>
          <w:sz w:val="24"/>
          <w:szCs w:val="24"/>
          <w:lang w:bidi="en-US"/>
        </w:rPr>
        <w:t>Full Expansion Project</w:t>
      </w:r>
      <w:r w:rsidR="00941666" w:rsidRPr="00B74333">
        <w:rPr>
          <w:rFonts w:eastAsia="Calibri" w:cstheme="minorHAnsi"/>
          <w:i/>
          <w:iCs/>
          <w:color w:val="000000"/>
          <w:sz w:val="24"/>
          <w:szCs w:val="24"/>
          <w:lang w:bidi="en-US"/>
        </w:rPr>
        <w:t>”</w:t>
      </w:r>
      <w:r w:rsidR="001C607D" w:rsidRPr="00B74333">
        <w:rPr>
          <w:rFonts w:eastAsia="Calibri" w:cstheme="minorHAnsi"/>
          <w:i/>
          <w:iCs/>
          <w:color w:val="000000"/>
          <w:sz w:val="24"/>
          <w:szCs w:val="24"/>
          <w:lang w:bidi="en-US"/>
        </w:rPr>
        <w:t>]</w:t>
      </w:r>
      <w:r w:rsidRPr="00B74333">
        <w:rPr>
          <w:rFonts w:eastAsia="Calibri" w:cstheme="minorHAnsi"/>
          <w:color w:val="000000"/>
          <w:sz w:val="24"/>
          <w:szCs w:val="24"/>
          <w:lang w:bidi="en-US"/>
        </w:rPr>
        <w:t xml:space="preserve"> (“</w:t>
      </w:r>
      <w:r w:rsidRPr="00B74333">
        <w:rPr>
          <w:rFonts w:eastAsia="Calibri" w:cstheme="minorHAnsi"/>
          <w:b/>
          <w:bCs/>
          <w:color w:val="000000"/>
          <w:sz w:val="24"/>
          <w:szCs w:val="24"/>
          <w:lang w:bidi="en-US"/>
        </w:rPr>
        <w:t>DESFA Part of the Project</w:t>
      </w:r>
      <w:r w:rsidRPr="00B74333">
        <w:rPr>
          <w:rFonts w:eastAsia="Calibri" w:cstheme="minorHAnsi"/>
          <w:color w:val="000000"/>
          <w:sz w:val="24"/>
          <w:szCs w:val="24"/>
          <w:lang w:bidi="en-US"/>
        </w:rPr>
        <w:t>”).</w:t>
      </w:r>
    </w:p>
    <w:p w14:paraId="0EF8F6BC" w14:textId="77777777" w:rsidR="00CE1AF2" w:rsidRPr="00B74333" w:rsidRDefault="00CE1AF2" w:rsidP="00CE1AF2">
      <w:pPr>
        <w:widowControl w:val="0"/>
        <w:tabs>
          <w:tab w:val="left" w:pos="781"/>
        </w:tabs>
        <w:spacing w:after="0" w:line="254" w:lineRule="auto"/>
        <w:jc w:val="both"/>
        <w:rPr>
          <w:rFonts w:eastAsia="Calibri" w:cstheme="minorHAnsi"/>
          <w:color w:val="000000"/>
          <w:sz w:val="24"/>
          <w:szCs w:val="24"/>
          <w:lang w:bidi="en-US"/>
        </w:rPr>
      </w:pPr>
    </w:p>
    <w:p w14:paraId="115753C9" w14:textId="77777777" w:rsidR="004F3660" w:rsidRPr="00B74333" w:rsidRDefault="00CB45EB" w:rsidP="00A40BB5">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B74333">
        <w:rPr>
          <w:rFonts w:eastAsia="Calibri" w:cstheme="minorHAnsi"/>
          <w:i/>
          <w:color w:val="000000"/>
          <w:sz w:val="24"/>
          <w:szCs w:val="24"/>
          <w:lang w:bidi="en-US"/>
        </w:rPr>
        <w:t>[choose among (i) to (iii) as appropriate and delete the remaining cases:</w:t>
      </w:r>
    </w:p>
    <w:p w14:paraId="48DEE452" w14:textId="77777777" w:rsidR="00CE1AF2" w:rsidRPr="00B74333" w:rsidRDefault="00CE1AF2" w:rsidP="00CE1AF2">
      <w:pPr>
        <w:widowControl w:val="0"/>
        <w:tabs>
          <w:tab w:val="left" w:pos="781"/>
        </w:tabs>
        <w:spacing w:after="0" w:line="254" w:lineRule="auto"/>
        <w:jc w:val="both"/>
        <w:rPr>
          <w:rFonts w:eastAsia="Calibri" w:cstheme="minorHAnsi"/>
          <w:color w:val="000000"/>
          <w:sz w:val="24"/>
          <w:szCs w:val="24"/>
          <w:lang w:bidi="en-US"/>
        </w:rPr>
      </w:pPr>
    </w:p>
    <w:p w14:paraId="54D1A237" w14:textId="19539B50" w:rsidR="006427A5" w:rsidRPr="00B74333" w:rsidRDefault="00CE1AF2" w:rsidP="008B7E52">
      <w:pPr>
        <w:pStyle w:val="ListParagraph"/>
        <w:widowControl w:val="0"/>
        <w:numPr>
          <w:ilvl w:val="0"/>
          <w:numId w:val="82"/>
        </w:numPr>
        <w:tabs>
          <w:tab w:val="left" w:pos="781"/>
        </w:tabs>
        <w:spacing w:after="0" w:line="254" w:lineRule="auto"/>
        <w:jc w:val="both"/>
        <w:rPr>
          <w:rFonts w:eastAsia="Calibri" w:cstheme="minorHAnsi"/>
          <w:i/>
          <w:color w:val="000000"/>
          <w:sz w:val="24"/>
          <w:szCs w:val="24"/>
          <w:lang w:bidi="en-US"/>
        </w:rPr>
      </w:pPr>
      <w:r w:rsidRPr="00B74333">
        <w:rPr>
          <w:rFonts w:eastAsia="Calibri" w:cstheme="minorHAnsi"/>
          <w:i/>
          <w:color w:val="000000"/>
          <w:sz w:val="24"/>
          <w:szCs w:val="24"/>
          <w:lang w:bidi="en-US"/>
        </w:rPr>
        <w:t xml:space="preserve">      </w:t>
      </w:r>
      <w:r w:rsidR="00CB45EB" w:rsidRPr="00B74333">
        <w:rPr>
          <w:rFonts w:eastAsia="Calibri" w:cstheme="minorHAnsi"/>
          <w:i/>
          <w:color w:val="000000"/>
          <w:sz w:val="24"/>
          <w:szCs w:val="24"/>
          <w:lang w:bidi="en-US"/>
        </w:rPr>
        <w:t>BULGARTRANSGAZ</w:t>
      </w:r>
      <w:r w:rsidR="00F24064" w:rsidRPr="00B74333">
        <w:rPr>
          <w:rFonts w:eastAsia="Calibri" w:cstheme="minorHAnsi"/>
          <w:i/>
          <w:color w:val="000000"/>
          <w:sz w:val="24"/>
          <w:szCs w:val="24"/>
          <w:lang w:bidi="en-US"/>
        </w:rPr>
        <w:t xml:space="preserve"> intends to implement the appropriate infrastructure developments of</w:t>
      </w:r>
      <w:r w:rsidR="000931AE" w:rsidRPr="00B74333">
        <w:rPr>
          <w:rFonts w:eastAsia="Calibri" w:cstheme="minorHAnsi"/>
          <w:i/>
          <w:color w:val="000000"/>
          <w:sz w:val="24"/>
          <w:szCs w:val="24"/>
          <w:lang w:bidi="en-US"/>
        </w:rPr>
        <w:t xml:space="preserve"> BULGARTRANSGAZ System</w:t>
      </w:r>
      <w:r w:rsidR="00870516" w:rsidRPr="00B74333">
        <w:rPr>
          <w:rFonts w:eastAsia="Calibri" w:cstheme="minorHAnsi"/>
          <w:i/>
          <w:color w:val="000000"/>
          <w:sz w:val="24"/>
          <w:szCs w:val="24"/>
          <w:lang w:bidi="en-US"/>
        </w:rPr>
        <w:t xml:space="preserve"> </w:t>
      </w:r>
      <w:proofErr w:type="gramStart"/>
      <w:r w:rsidR="00870516" w:rsidRPr="00B74333">
        <w:rPr>
          <w:rFonts w:eastAsia="Calibri" w:cstheme="minorHAnsi"/>
          <w:i/>
          <w:color w:val="000000"/>
          <w:sz w:val="24"/>
          <w:szCs w:val="24"/>
          <w:lang w:bidi="en-US"/>
        </w:rPr>
        <w:t>in order to</w:t>
      </w:r>
      <w:proofErr w:type="gramEnd"/>
      <w:r w:rsidR="00870516" w:rsidRPr="00B74333">
        <w:rPr>
          <w:rFonts w:eastAsia="Calibri" w:cstheme="minorHAnsi"/>
          <w:i/>
          <w:color w:val="000000"/>
          <w:sz w:val="24"/>
          <w:szCs w:val="24"/>
          <w:lang w:bidi="en-US"/>
        </w:rPr>
        <w:t xml:space="preserve"> offer incremental capacity, inter alia, at the Kulata/Sidirokastro IP (“</w:t>
      </w:r>
      <w:r w:rsidR="00870516" w:rsidRPr="00B74333">
        <w:rPr>
          <w:rFonts w:eastAsia="Calibri" w:cstheme="minorHAnsi"/>
          <w:b/>
          <w:i/>
          <w:color w:val="000000"/>
          <w:sz w:val="24"/>
          <w:szCs w:val="24"/>
          <w:lang w:bidi="en-US"/>
        </w:rPr>
        <w:t>BULGARTRANSGAZ Part of the Project</w:t>
      </w:r>
      <w:r w:rsidR="00870516" w:rsidRPr="00B74333">
        <w:rPr>
          <w:rFonts w:eastAsia="Calibri" w:cstheme="minorHAnsi"/>
          <w:i/>
          <w:color w:val="000000"/>
          <w:sz w:val="24"/>
          <w:szCs w:val="24"/>
          <w:lang w:bidi="en-US"/>
        </w:rPr>
        <w:t>”), according to the Guidelines and the Project Proposal of DESFA and BULGARTRANSGAZ</w:t>
      </w:r>
    </w:p>
    <w:p w14:paraId="50C36110" w14:textId="603941FF" w:rsidR="00E7348B" w:rsidRPr="00B74333" w:rsidRDefault="00CE1AF2" w:rsidP="00E7348B">
      <w:pPr>
        <w:pStyle w:val="ListParagraph"/>
        <w:widowControl w:val="0"/>
        <w:numPr>
          <w:ilvl w:val="0"/>
          <w:numId w:val="82"/>
        </w:numPr>
        <w:tabs>
          <w:tab w:val="left" w:pos="781"/>
        </w:tabs>
        <w:spacing w:after="0" w:line="254" w:lineRule="auto"/>
        <w:jc w:val="both"/>
        <w:rPr>
          <w:rFonts w:eastAsia="Calibri" w:cstheme="minorHAnsi"/>
          <w:i/>
          <w:color w:val="000000"/>
          <w:sz w:val="24"/>
          <w:szCs w:val="24"/>
          <w:lang w:bidi="en-US"/>
        </w:rPr>
      </w:pPr>
      <w:r w:rsidRPr="00B74333">
        <w:rPr>
          <w:rFonts w:eastAsia="Calibri" w:cstheme="minorHAnsi"/>
          <w:i/>
          <w:color w:val="000000"/>
          <w:sz w:val="24"/>
          <w:szCs w:val="24"/>
          <w:lang w:bidi="en-US"/>
        </w:rPr>
        <w:t xml:space="preserve">      </w:t>
      </w:r>
      <w:r w:rsidR="00375010" w:rsidRPr="00B74333">
        <w:rPr>
          <w:rFonts w:eastAsia="Calibri" w:cstheme="minorHAnsi"/>
          <w:i/>
          <w:color w:val="000000"/>
          <w:sz w:val="24"/>
          <w:szCs w:val="24"/>
          <w:lang w:bidi="en-US"/>
        </w:rPr>
        <w:t>ICGB</w:t>
      </w:r>
      <w:r w:rsidR="008E2359" w:rsidRPr="00B74333">
        <w:rPr>
          <w:rFonts w:eastAsia="Calibri" w:cstheme="minorHAnsi"/>
          <w:i/>
          <w:color w:val="000000"/>
          <w:sz w:val="24"/>
          <w:szCs w:val="24"/>
          <w:lang w:bidi="en-US"/>
        </w:rPr>
        <w:t xml:space="preserve"> </w:t>
      </w:r>
      <w:r w:rsidR="00F24064" w:rsidRPr="00B74333">
        <w:rPr>
          <w:rFonts w:eastAsia="Calibri" w:cstheme="minorHAnsi"/>
          <w:i/>
          <w:color w:val="000000"/>
          <w:sz w:val="24"/>
          <w:szCs w:val="24"/>
          <w:lang w:bidi="en-US"/>
        </w:rPr>
        <w:t>intends to implement the appropriate infrastructure developments of</w:t>
      </w:r>
      <w:r w:rsidR="008E2359" w:rsidRPr="00B74333">
        <w:rPr>
          <w:rFonts w:eastAsia="Calibri" w:cstheme="minorHAnsi"/>
          <w:i/>
          <w:color w:val="000000"/>
          <w:sz w:val="24"/>
          <w:szCs w:val="24"/>
          <w:lang w:bidi="en-US"/>
        </w:rPr>
        <w:t xml:space="preserve"> </w:t>
      </w:r>
      <w:r w:rsidR="000931AE" w:rsidRPr="00B74333">
        <w:rPr>
          <w:rFonts w:eastAsia="Calibri" w:cstheme="minorHAnsi"/>
          <w:i/>
          <w:color w:val="000000"/>
          <w:sz w:val="24"/>
          <w:szCs w:val="24"/>
          <w:lang w:bidi="en-US"/>
        </w:rPr>
        <w:t>ICGB System</w:t>
      </w:r>
      <w:r w:rsidR="008E2359" w:rsidRPr="00B74333">
        <w:rPr>
          <w:rFonts w:eastAsia="Calibri" w:cstheme="minorHAnsi"/>
          <w:i/>
          <w:color w:val="000000"/>
          <w:sz w:val="24"/>
          <w:szCs w:val="24"/>
          <w:lang w:bidi="en-US"/>
        </w:rPr>
        <w:t xml:space="preserve"> </w:t>
      </w:r>
      <w:proofErr w:type="gramStart"/>
      <w:r w:rsidR="00E7348B" w:rsidRPr="00B74333">
        <w:rPr>
          <w:rFonts w:eastAsia="Calibri" w:cstheme="minorHAnsi"/>
          <w:i/>
          <w:color w:val="000000"/>
          <w:sz w:val="24"/>
          <w:szCs w:val="24"/>
          <w:lang w:bidi="en-US"/>
        </w:rPr>
        <w:t>in order to</w:t>
      </w:r>
      <w:proofErr w:type="gramEnd"/>
      <w:r w:rsidR="00E7348B" w:rsidRPr="00B74333">
        <w:rPr>
          <w:rFonts w:eastAsia="Calibri" w:cstheme="minorHAnsi"/>
          <w:i/>
          <w:color w:val="000000"/>
          <w:sz w:val="24"/>
          <w:szCs w:val="24"/>
          <w:lang w:bidi="en-US"/>
        </w:rPr>
        <w:t xml:space="preserve"> offer incremental capacity, inter alia, at the Komotini IP (“</w:t>
      </w:r>
      <w:r w:rsidR="00E7348B" w:rsidRPr="00B74333">
        <w:rPr>
          <w:rFonts w:eastAsia="Calibri" w:cstheme="minorHAnsi"/>
          <w:b/>
          <w:i/>
          <w:color w:val="000000"/>
          <w:sz w:val="24"/>
          <w:szCs w:val="24"/>
          <w:lang w:bidi="en-US"/>
        </w:rPr>
        <w:t>ICGB Part of the Project</w:t>
      </w:r>
      <w:r w:rsidR="00E7348B" w:rsidRPr="00B74333">
        <w:rPr>
          <w:rFonts w:eastAsia="Calibri" w:cstheme="minorHAnsi"/>
          <w:i/>
          <w:color w:val="000000"/>
          <w:sz w:val="24"/>
          <w:szCs w:val="24"/>
          <w:lang w:bidi="en-US"/>
        </w:rPr>
        <w:t>”), according to the Guidelines and the Project Proposal of DESFA and ICGB</w:t>
      </w:r>
    </w:p>
    <w:p w14:paraId="30968357" w14:textId="5E552E1D" w:rsidR="00A40BB5" w:rsidRPr="00B74333" w:rsidRDefault="00CE1AF2" w:rsidP="00CE1AF2">
      <w:pPr>
        <w:pStyle w:val="ListParagraph"/>
        <w:widowControl w:val="0"/>
        <w:numPr>
          <w:ilvl w:val="0"/>
          <w:numId w:val="82"/>
        </w:numPr>
        <w:tabs>
          <w:tab w:val="left" w:pos="781"/>
        </w:tabs>
        <w:spacing w:after="0" w:line="254" w:lineRule="auto"/>
        <w:jc w:val="both"/>
        <w:rPr>
          <w:rFonts w:eastAsia="Calibri" w:cstheme="minorHAnsi"/>
          <w:i/>
          <w:color w:val="000000"/>
          <w:sz w:val="24"/>
          <w:szCs w:val="24"/>
          <w:lang w:bidi="en-US"/>
        </w:rPr>
      </w:pPr>
      <w:r w:rsidRPr="00B74333">
        <w:rPr>
          <w:rFonts w:eastAsia="Calibri" w:cstheme="minorHAnsi"/>
          <w:i/>
          <w:color w:val="000000"/>
          <w:sz w:val="24"/>
          <w:szCs w:val="24"/>
          <w:lang w:bidi="en-US"/>
        </w:rPr>
        <w:t xml:space="preserve">      </w:t>
      </w:r>
      <w:r w:rsidR="00E7348B" w:rsidRPr="00B74333">
        <w:rPr>
          <w:rFonts w:eastAsia="Calibri" w:cstheme="minorHAnsi"/>
          <w:i/>
          <w:color w:val="000000"/>
          <w:sz w:val="24"/>
          <w:szCs w:val="24"/>
          <w:lang w:bidi="en-US"/>
        </w:rPr>
        <w:t>BULGARTRANSGAZ intends to implement the appropriate infrastructure developments of BULGARTRANSGAZ System in order to offer incremental capacity, inter alia, at the</w:t>
      </w:r>
      <w:r w:rsidR="00375010" w:rsidRPr="00B74333">
        <w:rPr>
          <w:rFonts w:eastAsia="Calibri" w:cstheme="minorHAnsi"/>
          <w:i/>
          <w:color w:val="000000"/>
          <w:sz w:val="24"/>
          <w:szCs w:val="24"/>
          <w:lang w:bidi="en-US"/>
        </w:rPr>
        <w:t xml:space="preserve"> </w:t>
      </w:r>
      <w:r w:rsidR="00870516" w:rsidRPr="00B74333">
        <w:rPr>
          <w:rFonts w:eastAsia="Calibri" w:cstheme="minorHAnsi"/>
          <w:i/>
          <w:color w:val="000000"/>
          <w:sz w:val="24"/>
          <w:szCs w:val="24"/>
          <w:lang w:bidi="en-US"/>
        </w:rPr>
        <w:t>Kulata/Sidirokastro IP (“</w:t>
      </w:r>
      <w:r w:rsidR="00870516" w:rsidRPr="00B74333">
        <w:rPr>
          <w:rFonts w:eastAsia="Calibri" w:cstheme="minorHAnsi"/>
          <w:b/>
          <w:i/>
          <w:color w:val="000000"/>
          <w:sz w:val="24"/>
          <w:szCs w:val="24"/>
          <w:lang w:bidi="en-US"/>
        </w:rPr>
        <w:t>BULGARTRANSGAZ Part of the Project</w:t>
      </w:r>
      <w:r w:rsidR="00E7348B" w:rsidRPr="00B74333">
        <w:rPr>
          <w:rFonts w:eastAsia="Calibri" w:cstheme="minorHAnsi"/>
          <w:i/>
          <w:color w:val="000000"/>
          <w:sz w:val="24"/>
          <w:szCs w:val="24"/>
          <w:lang w:bidi="en-US"/>
        </w:rPr>
        <w:t xml:space="preserve">”), according to the Guidelines and the Project Proposal of DESFA and BULGARTRANSGAZ and ICGB intends to implement the appropriate infrastructure </w:t>
      </w:r>
      <w:r w:rsidR="00E7348B" w:rsidRPr="00B74333">
        <w:rPr>
          <w:rFonts w:eastAsia="Calibri" w:cstheme="minorHAnsi"/>
          <w:i/>
          <w:color w:val="000000"/>
          <w:sz w:val="24"/>
          <w:szCs w:val="24"/>
          <w:lang w:bidi="en-US"/>
        </w:rPr>
        <w:lastRenderedPageBreak/>
        <w:t>developments of ICGB System in order to offer incremental capacity, inter alia, at the Komotini IP (“</w:t>
      </w:r>
      <w:r w:rsidR="00E7348B" w:rsidRPr="00B74333">
        <w:rPr>
          <w:rFonts w:eastAsia="Calibri" w:cstheme="minorHAnsi"/>
          <w:b/>
          <w:i/>
          <w:color w:val="000000"/>
          <w:sz w:val="24"/>
          <w:szCs w:val="24"/>
          <w:lang w:bidi="en-US"/>
        </w:rPr>
        <w:t>ICGB Part of the Project</w:t>
      </w:r>
      <w:r w:rsidR="00E7348B" w:rsidRPr="00B74333">
        <w:rPr>
          <w:rFonts w:eastAsia="Calibri" w:cstheme="minorHAnsi"/>
          <w:i/>
          <w:color w:val="000000"/>
          <w:sz w:val="24"/>
          <w:szCs w:val="24"/>
          <w:lang w:bidi="en-US"/>
        </w:rPr>
        <w:t>”), according to the Guidelines and the Project Proposal of DESFA and ICGB</w:t>
      </w:r>
      <w:r w:rsidR="00B56719" w:rsidRPr="00B74333">
        <w:rPr>
          <w:rFonts w:eastAsia="Calibri" w:cstheme="minorHAnsi"/>
          <w:i/>
          <w:color w:val="000000"/>
          <w:sz w:val="24"/>
          <w:szCs w:val="24"/>
          <w:lang w:bidi="en-US"/>
        </w:rPr>
        <w:t>]</w:t>
      </w:r>
      <w:r w:rsidR="00A40BB5" w:rsidRPr="00B74333">
        <w:rPr>
          <w:rFonts w:eastAsia="Calibri" w:cstheme="minorHAnsi"/>
          <w:i/>
          <w:color w:val="000000"/>
          <w:sz w:val="24"/>
          <w:szCs w:val="24"/>
          <w:lang w:bidi="en-US"/>
        </w:rPr>
        <w:t>.</w:t>
      </w:r>
      <w:r w:rsidR="005F5F3C" w:rsidRPr="00B74333">
        <w:rPr>
          <w:rStyle w:val="FootnoteReference"/>
          <w:rFonts w:eastAsia="Calibri" w:cstheme="minorHAnsi"/>
          <w:i/>
          <w:color w:val="000000"/>
          <w:sz w:val="24"/>
          <w:szCs w:val="24"/>
          <w:lang w:bidi="en-US"/>
        </w:rPr>
        <w:footnoteReference w:id="22"/>
      </w:r>
    </w:p>
    <w:p w14:paraId="2565FE42" w14:textId="77777777" w:rsidR="00C461E2" w:rsidRPr="00B74333" w:rsidRDefault="00C461E2" w:rsidP="00C461E2">
      <w:pPr>
        <w:pStyle w:val="ListParagraph"/>
        <w:widowControl w:val="0"/>
        <w:tabs>
          <w:tab w:val="left" w:pos="781"/>
        </w:tabs>
        <w:spacing w:after="0" w:line="254" w:lineRule="auto"/>
        <w:ind w:left="1080"/>
        <w:jc w:val="both"/>
        <w:rPr>
          <w:rFonts w:eastAsia="Calibri" w:cstheme="minorHAnsi"/>
          <w:i/>
          <w:color w:val="000000"/>
          <w:sz w:val="24"/>
          <w:szCs w:val="24"/>
          <w:lang w:bidi="en-US"/>
        </w:rPr>
      </w:pPr>
    </w:p>
    <w:p w14:paraId="56410824" w14:textId="272FC286" w:rsidR="00192F18" w:rsidRPr="00B74333" w:rsidRDefault="00192F18">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The Company is a Transmission User and has concluded with DESFA the</w:t>
      </w:r>
      <w:r w:rsidR="006F1C3A" w:rsidRPr="00B74333">
        <w:rPr>
          <w:rFonts w:eastAsia="Calibri" w:cstheme="minorHAnsi"/>
          <w:color w:val="000000" w:themeColor="text1"/>
          <w:sz w:val="24"/>
          <w:szCs w:val="24"/>
          <w:lang w:bidi="en-US"/>
        </w:rPr>
        <w:t xml:space="preserve"> NNGS Standard Transmission Agreement</w:t>
      </w:r>
      <w:r w:rsidRPr="00B74333">
        <w:rPr>
          <w:rFonts w:eastAsia="Calibri" w:cstheme="minorHAnsi"/>
          <w:color w:val="000000" w:themeColor="text1"/>
          <w:sz w:val="24"/>
          <w:szCs w:val="24"/>
          <w:lang w:bidi="en-US"/>
        </w:rPr>
        <w:t xml:space="preserve"> </w:t>
      </w:r>
      <w:r w:rsidR="00E32CBB" w:rsidRPr="00B74333">
        <w:rPr>
          <w:rFonts w:eastAsia="Calibri" w:cstheme="minorHAnsi"/>
          <w:color w:val="000000" w:themeColor="text1"/>
          <w:sz w:val="24"/>
          <w:szCs w:val="24"/>
          <w:lang w:bidi="en-US"/>
        </w:rPr>
        <w:t>[•]</w:t>
      </w:r>
      <w:r w:rsidRPr="00B74333">
        <w:rPr>
          <w:rFonts w:eastAsia="Calibri" w:cstheme="minorHAnsi"/>
          <w:color w:val="000000" w:themeColor="text1"/>
          <w:sz w:val="24"/>
          <w:szCs w:val="24"/>
          <w:lang w:bidi="en-US"/>
        </w:rPr>
        <w:t>.</w:t>
      </w:r>
    </w:p>
    <w:p w14:paraId="7BE3D3F1" w14:textId="77777777" w:rsidR="00C461E2" w:rsidRPr="00B74333" w:rsidRDefault="00C461E2" w:rsidP="00C461E2">
      <w:pPr>
        <w:widowControl w:val="0"/>
        <w:tabs>
          <w:tab w:val="left" w:pos="781"/>
        </w:tabs>
        <w:spacing w:after="0" w:line="254" w:lineRule="auto"/>
        <w:jc w:val="both"/>
        <w:rPr>
          <w:rFonts w:eastAsia="Calibri" w:cstheme="minorHAnsi"/>
          <w:color w:val="000000"/>
          <w:sz w:val="24"/>
          <w:szCs w:val="24"/>
          <w:lang w:bidi="en-US"/>
        </w:rPr>
      </w:pPr>
    </w:p>
    <w:p w14:paraId="17E23096" w14:textId="066B6E85" w:rsidR="00192F18" w:rsidRPr="00B74333" w:rsidRDefault="00192F18">
      <w:pPr>
        <w:widowControl w:val="0"/>
        <w:numPr>
          <w:ilvl w:val="0"/>
          <w:numId w:val="41"/>
        </w:numPr>
        <w:tabs>
          <w:tab w:val="left" w:pos="781"/>
        </w:tabs>
        <w:spacing w:after="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The Company has successfully participated in the</w:t>
      </w:r>
      <w:r w:rsidR="00E22611" w:rsidRPr="00B74333">
        <w:rPr>
          <w:rFonts w:eastAsia="Calibri" w:cstheme="minorHAnsi"/>
          <w:color w:val="000000" w:themeColor="text1"/>
          <w:sz w:val="24"/>
          <w:szCs w:val="24"/>
          <w:lang w:bidi="en-US"/>
        </w:rPr>
        <w:t xml:space="preserve"> </w:t>
      </w:r>
      <w:r w:rsidRPr="00B74333">
        <w:rPr>
          <w:rFonts w:eastAsia="Calibri" w:cstheme="minorHAnsi"/>
          <w:color w:val="000000" w:themeColor="text1"/>
          <w:sz w:val="24"/>
          <w:szCs w:val="24"/>
          <w:lang w:bidi="en-US"/>
        </w:rPr>
        <w:t xml:space="preserve">Binding Phase of the </w:t>
      </w:r>
      <w:r w:rsidR="00B9085F" w:rsidRPr="00B74333">
        <w:rPr>
          <w:rFonts w:eastAsia="Calibri" w:cstheme="minorHAnsi"/>
          <w:color w:val="000000" w:themeColor="text1"/>
          <w:sz w:val="24"/>
          <w:szCs w:val="24"/>
          <w:lang w:bidi="en-US"/>
        </w:rPr>
        <w:t>Market Test</w:t>
      </w:r>
      <w:r w:rsidRPr="00B74333">
        <w:rPr>
          <w:rFonts w:eastAsia="Calibri" w:cstheme="minorHAnsi"/>
          <w:color w:val="000000" w:themeColor="text1"/>
          <w:sz w:val="24"/>
          <w:szCs w:val="24"/>
          <w:lang w:bidi="en-US"/>
        </w:rPr>
        <w:t xml:space="preserve"> </w:t>
      </w:r>
      <w:r w:rsidR="002C13E3" w:rsidRPr="00B74333">
        <w:rPr>
          <w:rFonts w:eastAsia="Calibri" w:cstheme="minorHAnsi"/>
          <w:color w:val="000000" w:themeColor="text1"/>
          <w:sz w:val="24"/>
          <w:szCs w:val="24"/>
          <w:lang w:bidi="en-US"/>
        </w:rPr>
        <w:t>P</w:t>
      </w:r>
      <w:r w:rsidRPr="00B74333">
        <w:rPr>
          <w:rFonts w:eastAsia="Calibri" w:cstheme="minorHAnsi"/>
          <w:color w:val="000000" w:themeColor="text1"/>
          <w:sz w:val="24"/>
          <w:szCs w:val="24"/>
          <w:lang w:bidi="en-US"/>
        </w:rPr>
        <w:t xml:space="preserve">rocess and has been Allocated Capacity at DESFA’s Side of </w:t>
      </w:r>
      <w:r w:rsidR="002770AC" w:rsidRPr="00B74333">
        <w:rPr>
          <w:rStyle w:val="cf01"/>
          <w:rFonts w:asciiTheme="minorHAnsi" w:hAnsiTheme="minorHAnsi" w:cstheme="minorHAnsi"/>
          <w:sz w:val="24"/>
          <w:szCs w:val="24"/>
        </w:rPr>
        <w:t>[</w:t>
      </w:r>
      <w:r w:rsidR="002770AC" w:rsidRPr="00B74333">
        <w:rPr>
          <w:rStyle w:val="cf11"/>
          <w:rFonts w:asciiTheme="minorHAnsi" w:hAnsiTheme="minorHAnsi" w:cstheme="minorHAnsi"/>
          <w:sz w:val="24"/>
          <w:szCs w:val="24"/>
        </w:rPr>
        <w:t>choose</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among</w:t>
      </w:r>
      <w:r w:rsidR="002770AC" w:rsidRPr="00B74333">
        <w:rPr>
          <w:rStyle w:val="cf01"/>
          <w:rFonts w:asciiTheme="minorHAnsi" w:hAnsiTheme="minorHAnsi" w:cstheme="minorHAnsi"/>
          <w:sz w:val="24"/>
          <w:szCs w:val="24"/>
        </w:rPr>
        <w:t xml:space="preserve"> (i) to (</w:t>
      </w:r>
      <w:r w:rsidR="002770AC" w:rsidRPr="00B74333">
        <w:rPr>
          <w:rStyle w:val="cf11"/>
          <w:rFonts w:asciiTheme="minorHAnsi" w:hAnsiTheme="minorHAnsi" w:cstheme="minorHAnsi"/>
          <w:sz w:val="24"/>
          <w:szCs w:val="24"/>
        </w:rPr>
        <w:t>ix</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as</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appropriate</w:t>
      </w:r>
      <w:r w:rsidR="00C77CE7" w:rsidRPr="00B74333">
        <w:rPr>
          <w:rStyle w:val="cf01"/>
          <w:rFonts w:asciiTheme="minorHAnsi" w:hAnsiTheme="minorHAnsi" w:cstheme="minorHAnsi"/>
          <w:sz w:val="24"/>
          <w:szCs w:val="24"/>
        </w:rPr>
        <w:t xml:space="preserve"> and</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delete</w:t>
      </w:r>
      <w:r w:rsidR="002770AC" w:rsidRPr="00B74333">
        <w:rPr>
          <w:rStyle w:val="cf01"/>
          <w:rFonts w:asciiTheme="minorHAnsi" w:hAnsiTheme="minorHAnsi" w:cstheme="minorHAnsi"/>
          <w:sz w:val="24"/>
          <w:szCs w:val="24"/>
        </w:rPr>
        <w:t xml:space="preserve"> the </w:t>
      </w:r>
      <w:r w:rsidR="002770AC" w:rsidRPr="00B74333">
        <w:rPr>
          <w:rStyle w:val="cf11"/>
          <w:rFonts w:asciiTheme="minorHAnsi" w:hAnsiTheme="minorHAnsi" w:cstheme="minorHAnsi"/>
          <w:sz w:val="24"/>
          <w:szCs w:val="24"/>
        </w:rPr>
        <w:t>remaining</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cases</w:t>
      </w:r>
      <w:r w:rsidR="002770AC" w:rsidRPr="00B74333">
        <w:rPr>
          <w:rStyle w:val="cf01"/>
          <w:rFonts w:asciiTheme="minorHAnsi" w:hAnsiTheme="minorHAnsi" w:cstheme="minorHAnsi"/>
          <w:sz w:val="24"/>
          <w:szCs w:val="24"/>
        </w:rPr>
        <w:t xml:space="preserve">: (i) </w:t>
      </w:r>
      <w:proofErr w:type="spellStart"/>
      <w:r w:rsidR="002770AC" w:rsidRPr="00B74333">
        <w:rPr>
          <w:rStyle w:val="cf01"/>
          <w:rFonts w:asciiTheme="minorHAnsi" w:hAnsiTheme="minorHAnsi" w:cstheme="minorHAnsi"/>
          <w:sz w:val="24"/>
          <w:szCs w:val="24"/>
        </w:rPr>
        <w:t>Kulata</w:t>
      </w:r>
      <w:proofErr w:type="spellEnd"/>
      <w:r w:rsidR="002770AC" w:rsidRPr="00B74333">
        <w:rPr>
          <w:rStyle w:val="cf01"/>
          <w:rFonts w:asciiTheme="minorHAnsi" w:hAnsiTheme="minorHAnsi" w:cstheme="minorHAnsi"/>
          <w:sz w:val="24"/>
          <w:szCs w:val="24"/>
        </w:rPr>
        <w:t>/</w:t>
      </w:r>
      <w:proofErr w:type="spellStart"/>
      <w:r w:rsidR="002770AC" w:rsidRPr="00B74333">
        <w:rPr>
          <w:rStyle w:val="cf01"/>
          <w:rFonts w:asciiTheme="minorHAnsi" w:hAnsiTheme="minorHAnsi" w:cstheme="minorHAnsi"/>
          <w:sz w:val="24"/>
          <w:szCs w:val="24"/>
        </w:rPr>
        <w:t>Sidirokastro</w:t>
      </w:r>
      <w:proofErr w:type="spellEnd"/>
      <w:r w:rsidR="002770AC" w:rsidRPr="00B74333">
        <w:rPr>
          <w:rStyle w:val="cf01"/>
          <w:rFonts w:asciiTheme="minorHAnsi" w:hAnsiTheme="minorHAnsi" w:cstheme="minorHAnsi"/>
          <w:sz w:val="24"/>
          <w:szCs w:val="24"/>
        </w:rPr>
        <w:t xml:space="preserve"> IP (</w:t>
      </w:r>
      <w:r w:rsidR="002770AC" w:rsidRPr="00B74333">
        <w:rPr>
          <w:rStyle w:val="cf11"/>
          <w:rFonts w:asciiTheme="minorHAnsi" w:hAnsiTheme="minorHAnsi" w:cstheme="minorHAnsi"/>
          <w:sz w:val="24"/>
          <w:szCs w:val="24"/>
        </w:rPr>
        <w:t>Exit</w:t>
      </w:r>
      <w:r w:rsidR="002770AC" w:rsidRPr="00B74333">
        <w:rPr>
          <w:rStyle w:val="cf01"/>
          <w:rFonts w:asciiTheme="minorHAnsi" w:hAnsiTheme="minorHAnsi" w:cstheme="minorHAnsi"/>
          <w:sz w:val="24"/>
          <w:szCs w:val="24"/>
        </w:rPr>
        <w:t xml:space="preserve"> DESFA), (</w:t>
      </w:r>
      <w:r w:rsidR="002770AC" w:rsidRPr="00B74333">
        <w:rPr>
          <w:rStyle w:val="cf11"/>
          <w:rFonts w:asciiTheme="minorHAnsi" w:hAnsiTheme="minorHAnsi" w:cstheme="minorHAnsi"/>
          <w:sz w:val="24"/>
          <w:szCs w:val="24"/>
        </w:rPr>
        <w:t>ii</w:t>
      </w:r>
      <w:r w:rsidR="002770AC" w:rsidRPr="00B74333">
        <w:rPr>
          <w:rStyle w:val="cf01"/>
          <w:rFonts w:asciiTheme="minorHAnsi" w:hAnsiTheme="minorHAnsi" w:cstheme="minorHAnsi"/>
          <w:sz w:val="24"/>
          <w:szCs w:val="24"/>
        </w:rPr>
        <w:t>) Komotini IP (</w:t>
      </w:r>
      <w:r w:rsidR="002770AC" w:rsidRPr="00B74333">
        <w:rPr>
          <w:rStyle w:val="cf11"/>
          <w:rFonts w:asciiTheme="minorHAnsi" w:hAnsiTheme="minorHAnsi" w:cstheme="minorHAnsi"/>
          <w:sz w:val="24"/>
          <w:szCs w:val="24"/>
        </w:rPr>
        <w:t>Exit</w:t>
      </w:r>
      <w:r w:rsidR="002770AC" w:rsidRPr="00B74333">
        <w:rPr>
          <w:rStyle w:val="cf01"/>
          <w:rFonts w:asciiTheme="minorHAnsi" w:hAnsiTheme="minorHAnsi" w:cstheme="minorHAnsi"/>
          <w:sz w:val="24"/>
          <w:szCs w:val="24"/>
        </w:rPr>
        <w:t xml:space="preserve"> DESFA), (</w:t>
      </w:r>
      <w:r w:rsidR="002770AC" w:rsidRPr="00B74333">
        <w:rPr>
          <w:rStyle w:val="cf11"/>
          <w:rFonts w:asciiTheme="minorHAnsi" w:hAnsiTheme="minorHAnsi" w:cstheme="minorHAnsi"/>
          <w:sz w:val="24"/>
          <w:szCs w:val="24"/>
        </w:rPr>
        <w:t>iii</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Nea</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Messimvria IP</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Exit</w:t>
      </w:r>
      <w:r w:rsidR="002770AC" w:rsidRPr="00B74333">
        <w:rPr>
          <w:rStyle w:val="cf01"/>
          <w:rFonts w:asciiTheme="minorHAnsi" w:hAnsiTheme="minorHAnsi" w:cstheme="minorHAnsi"/>
          <w:sz w:val="24"/>
          <w:szCs w:val="24"/>
        </w:rPr>
        <w:t xml:space="preserve"> DESFA), (</w:t>
      </w:r>
      <w:r w:rsidR="002770AC" w:rsidRPr="00B74333">
        <w:rPr>
          <w:rStyle w:val="cf11"/>
          <w:rFonts w:asciiTheme="minorHAnsi" w:hAnsiTheme="minorHAnsi" w:cstheme="minorHAnsi"/>
          <w:sz w:val="24"/>
          <w:szCs w:val="24"/>
        </w:rPr>
        <w:t>iv</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Nea</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Messimvria IP</w:t>
      </w:r>
      <w:r w:rsidR="002770AC" w:rsidRPr="00B74333">
        <w:rPr>
          <w:rStyle w:val="cf01"/>
          <w:rFonts w:asciiTheme="minorHAnsi" w:hAnsiTheme="minorHAnsi" w:cstheme="minorHAnsi"/>
          <w:sz w:val="24"/>
          <w:szCs w:val="24"/>
        </w:rPr>
        <w:t xml:space="preserve"> (</w:t>
      </w:r>
      <w:r w:rsidR="00C77CE7" w:rsidRPr="00B74333">
        <w:rPr>
          <w:rStyle w:val="cf11"/>
          <w:rFonts w:asciiTheme="minorHAnsi" w:hAnsiTheme="minorHAnsi" w:cstheme="minorHAnsi"/>
          <w:sz w:val="24"/>
          <w:szCs w:val="24"/>
        </w:rPr>
        <w:t>Entry</w:t>
      </w:r>
      <w:r w:rsidR="00C77CE7" w:rsidRPr="00B74333">
        <w:rPr>
          <w:rStyle w:val="cf01"/>
          <w:rFonts w:asciiTheme="minorHAnsi" w:hAnsiTheme="minorHAnsi" w:cstheme="minorHAnsi"/>
          <w:sz w:val="24"/>
          <w:szCs w:val="24"/>
        </w:rPr>
        <w:t xml:space="preserve"> </w:t>
      </w:r>
      <w:r w:rsidR="002770AC" w:rsidRPr="00B74333">
        <w:rPr>
          <w:rStyle w:val="cf01"/>
          <w:rFonts w:asciiTheme="minorHAnsi" w:hAnsiTheme="minorHAnsi" w:cstheme="minorHAnsi"/>
          <w:sz w:val="24"/>
          <w:szCs w:val="24"/>
        </w:rPr>
        <w:t xml:space="preserve">DESFA), (v) Amfitriti entry point </w:t>
      </w:r>
      <w:r w:rsidR="002770AC" w:rsidRPr="00B74333">
        <w:rPr>
          <w:rStyle w:val="cf11"/>
          <w:rFonts w:asciiTheme="minorHAnsi" w:hAnsiTheme="minorHAnsi" w:cstheme="minorHAnsi"/>
          <w:sz w:val="24"/>
          <w:szCs w:val="24"/>
        </w:rPr>
        <w:t>(Entry</w:t>
      </w:r>
      <w:r w:rsidR="002770AC" w:rsidRPr="00B74333">
        <w:rPr>
          <w:rStyle w:val="cf01"/>
          <w:rFonts w:asciiTheme="minorHAnsi" w:hAnsiTheme="minorHAnsi" w:cstheme="minorHAnsi"/>
          <w:sz w:val="24"/>
          <w:szCs w:val="24"/>
        </w:rPr>
        <w:t xml:space="preserve"> DESFA), (</w:t>
      </w:r>
      <w:r w:rsidR="002770AC" w:rsidRPr="00B74333">
        <w:rPr>
          <w:rStyle w:val="cf11"/>
          <w:rFonts w:asciiTheme="minorHAnsi" w:hAnsiTheme="minorHAnsi" w:cstheme="minorHAnsi"/>
          <w:sz w:val="24"/>
          <w:szCs w:val="24"/>
        </w:rPr>
        <w:t>vi</w:t>
      </w:r>
      <w:r w:rsidR="002770AC" w:rsidRPr="00B74333">
        <w:rPr>
          <w:rStyle w:val="cf01"/>
          <w:rFonts w:asciiTheme="minorHAnsi" w:hAnsiTheme="minorHAnsi" w:cstheme="minorHAnsi"/>
          <w:sz w:val="24"/>
          <w:szCs w:val="24"/>
        </w:rPr>
        <w:t xml:space="preserve">) </w:t>
      </w:r>
      <w:r w:rsidR="002770AC" w:rsidRPr="00B74333">
        <w:rPr>
          <w:rStyle w:val="cf11"/>
          <w:rFonts w:asciiTheme="minorHAnsi" w:hAnsiTheme="minorHAnsi" w:cstheme="minorHAnsi"/>
          <w:sz w:val="24"/>
          <w:szCs w:val="24"/>
        </w:rPr>
        <w:t>Kipi IP (Entry</w:t>
      </w:r>
      <w:r w:rsidR="002770AC" w:rsidRPr="00B74333">
        <w:rPr>
          <w:rStyle w:val="cf01"/>
          <w:rFonts w:asciiTheme="minorHAnsi" w:hAnsiTheme="minorHAnsi" w:cstheme="minorHAnsi"/>
          <w:sz w:val="24"/>
          <w:szCs w:val="24"/>
        </w:rPr>
        <w:t xml:space="preserve"> DESFA), (</w:t>
      </w:r>
      <w:r w:rsidR="002770AC" w:rsidRPr="00B74333">
        <w:rPr>
          <w:rStyle w:val="cf11"/>
          <w:rFonts w:asciiTheme="minorHAnsi" w:hAnsiTheme="minorHAnsi" w:cstheme="minorHAnsi"/>
          <w:sz w:val="24"/>
          <w:szCs w:val="24"/>
        </w:rPr>
        <w:t>vii</w:t>
      </w:r>
      <w:r w:rsidR="002770AC" w:rsidRPr="00B74333">
        <w:rPr>
          <w:rStyle w:val="cf01"/>
          <w:rFonts w:asciiTheme="minorHAnsi" w:hAnsiTheme="minorHAnsi" w:cstheme="minorHAnsi"/>
          <w:sz w:val="24"/>
          <w:szCs w:val="24"/>
        </w:rPr>
        <w:t xml:space="preserve">) New </w:t>
      </w:r>
      <w:r w:rsidR="00292EA1" w:rsidRPr="00B74333">
        <w:rPr>
          <w:rStyle w:val="cf11"/>
          <w:rFonts w:asciiTheme="minorHAnsi" w:hAnsiTheme="minorHAnsi" w:cstheme="minorHAnsi"/>
          <w:sz w:val="24"/>
          <w:szCs w:val="24"/>
        </w:rPr>
        <w:t>e</w:t>
      </w:r>
      <w:r w:rsidR="002770AC" w:rsidRPr="00B74333">
        <w:rPr>
          <w:rStyle w:val="cf11"/>
          <w:rFonts w:asciiTheme="minorHAnsi" w:hAnsiTheme="minorHAnsi" w:cstheme="minorHAnsi"/>
          <w:sz w:val="24"/>
          <w:szCs w:val="24"/>
        </w:rPr>
        <w:t>ntry</w:t>
      </w:r>
      <w:r w:rsidR="002770AC" w:rsidRPr="00B74333">
        <w:rPr>
          <w:rStyle w:val="cf01"/>
          <w:rFonts w:asciiTheme="minorHAnsi" w:hAnsiTheme="minorHAnsi" w:cstheme="minorHAnsi"/>
          <w:sz w:val="24"/>
          <w:szCs w:val="24"/>
        </w:rPr>
        <w:t xml:space="preserve"> </w:t>
      </w:r>
      <w:r w:rsidR="00292EA1" w:rsidRPr="00B74333">
        <w:rPr>
          <w:rStyle w:val="cf11"/>
          <w:rFonts w:asciiTheme="minorHAnsi" w:hAnsiTheme="minorHAnsi" w:cstheme="minorHAnsi"/>
          <w:sz w:val="24"/>
          <w:szCs w:val="24"/>
        </w:rPr>
        <w:t>p</w:t>
      </w:r>
      <w:r w:rsidR="002770AC" w:rsidRPr="00B74333">
        <w:rPr>
          <w:rStyle w:val="cf11"/>
          <w:rFonts w:asciiTheme="minorHAnsi" w:hAnsiTheme="minorHAnsi" w:cstheme="minorHAnsi"/>
          <w:sz w:val="24"/>
          <w:szCs w:val="24"/>
        </w:rPr>
        <w:t>oint</w:t>
      </w:r>
      <w:r w:rsidR="002770AC" w:rsidRPr="00B74333">
        <w:rPr>
          <w:rStyle w:val="cf01"/>
          <w:rFonts w:asciiTheme="minorHAnsi" w:hAnsiTheme="minorHAnsi" w:cstheme="minorHAnsi"/>
          <w:sz w:val="24"/>
          <w:szCs w:val="24"/>
        </w:rPr>
        <w:t xml:space="preserve"> ELPEDISON FSRU </w:t>
      </w:r>
      <w:r w:rsidR="002770AC" w:rsidRPr="00B74333">
        <w:rPr>
          <w:rStyle w:val="cf11"/>
          <w:rFonts w:asciiTheme="minorHAnsi" w:hAnsiTheme="minorHAnsi" w:cstheme="minorHAnsi"/>
          <w:sz w:val="24"/>
          <w:szCs w:val="24"/>
        </w:rPr>
        <w:t>(Entry</w:t>
      </w:r>
      <w:r w:rsidR="002770AC" w:rsidRPr="00B74333">
        <w:rPr>
          <w:rStyle w:val="cf01"/>
          <w:rFonts w:asciiTheme="minorHAnsi" w:hAnsiTheme="minorHAnsi" w:cstheme="minorHAnsi"/>
          <w:sz w:val="24"/>
          <w:szCs w:val="24"/>
        </w:rPr>
        <w:t xml:space="preserve"> DESFA) , (</w:t>
      </w:r>
      <w:r w:rsidR="002770AC" w:rsidRPr="00B74333">
        <w:rPr>
          <w:rStyle w:val="cf11"/>
          <w:rFonts w:asciiTheme="minorHAnsi" w:hAnsiTheme="minorHAnsi" w:cstheme="minorHAnsi"/>
          <w:sz w:val="24"/>
          <w:szCs w:val="24"/>
        </w:rPr>
        <w:t>viii</w:t>
      </w:r>
      <w:r w:rsidR="002770AC" w:rsidRPr="00B74333">
        <w:rPr>
          <w:rStyle w:val="cf01"/>
          <w:rFonts w:asciiTheme="minorHAnsi" w:hAnsiTheme="minorHAnsi" w:cstheme="minorHAnsi"/>
          <w:sz w:val="24"/>
          <w:szCs w:val="24"/>
        </w:rPr>
        <w:t xml:space="preserve">) </w:t>
      </w:r>
      <w:r w:rsidR="002770AC" w:rsidRPr="00B74333">
        <w:rPr>
          <w:rStyle w:val="cf21"/>
          <w:rFonts w:asciiTheme="minorHAnsi" w:hAnsiTheme="minorHAnsi" w:cstheme="minorHAnsi"/>
          <w:sz w:val="24"/>
          <w:szCs w:val="24"/>
        </w:rPr>
        <w:t xml:space="preserve">New </w:t>
      </w:r>
      <w:r w:rsidR="00292EA1" w:rsidRPr="00B74333">
        <w:rPr>
          <w:rStyle w:val="cf31"/>
          <w:rFonts w:asciiTheme="minorHAnsi" w:hAnsiTheme="minorHAnsi" w:cstheme="minorHAnsi"/>
          <w:sz w:val="24"/>
          <w:szCs w:val="24"/>
        </w:rPr>
        <w:t>e</w:t>
      </w:r>
      <w:r w:rsidR="002770AC" w:rsidRPr="00B74333">
        <w:rPr>
          <w:rStyle w:val="cf31"/>
          <w:rFonts w:asciiTheme="minorHAnsi" w:hAnsiTheme="minorHAnsi" w:cstheme="minorHAnsi"/>
          <w:sz w:val="24"/>
          <w:szCs w:val="24"/>
        </w:rPr>
        <w:t>ntry</w:t>
      </w:r>
      <w:r w:rsidR="002770AC" w:rsidRPr="00B74333">
        <w:rPr>
          <w:rStyle w:val="cf21"/>
          <w:rFonts w:asciiTheme="minorHAnsi" w:hAnsiTheme="minorHAnsi" w:cstheme="minorHAnsi"/>
          <w:sz w:val="24"/>
          <w:szCs w:val="24"/>
        </w:rPr>
        <w:t xml:space="preserve"> </w:t>
      </w:r>
      <w:r w:rsidR="00292EA1" w:rsidRPr="00B74333">
        <w:rPr>
          <w:rStyle w:val="cf31"/>
          <w:rFonts w:asciiTheme="minorHAnsi" w:hAnsiTheme="minorHAnsi" w:cstheme="minorHAnsi"/>
          <w:sz w:val="24"/>
          <w:szCs w:val="24"/>
        </w:rPr>
        <w:t>p</w:t>
      </w:r>
      <w:r w:rsidR="002770AC" w:rsidRPr="00B74333">
        <w:rPr>
          <w:rStyle w:val="cf31"/>
          <w:rFonts w:asciiTheme="minorHAnsi" w:hAnsiTheme="minorHAnsi" w:cstheme="minorHAnsi"/>
          <w:sz w:val="24"/>
          <w:szCs w:val="24"/>
        </w:rPr>
        <w:t>oint</w:t>
      </w:r>
      <w:r w:rsidR="002770AC" w:rsidRPr="00B74333">
        <w:rPr>
          <w:rStyle w:val="cf21"/>
          <w:rFonts w:asciiTheme="minorHAnsi" w:hAnsiTheme="minorHAnsi" w:cstheme="minorHAnsi"/>
          <w:sz w:val="24"/>
          <w:szCs w:val="24"/>
        </w:rPr>
        <w:t xml:space="preserve"> </w:t>
      </w:r>
      <w:r w:rsidR="002770AC" w:rsidRPr="00B74333">
        <w:rPr>
          <w:rStyle w:val="cf31"/>
          <w:rFonts w:asciiTheme="minorHAnsi" w:hAnsiTheme="minorHAnsi" w:cstheme="minorHAnsi"/>
          <w:sz w:val="24"/>
          <w:szCs w:val="24"/>
        </w:rPr>
        <w:t>–</w:t>
      </w:r>
      <w:r w:rsidR="002770AC" w:rsidRPr="00B74333">
        <w:rPr>
          <w:rStyle w:val="cf21"/>
          <w:rFonts w:asciiTheme="minorHAnsi" w:hAnsiTheme="minorHAnsi" w:cstheme="minorHAnsi"/>
          <w:sz w:val="24"/>
          <w:szCs w:val="24"/>
        </w:rPr>
        <w:t xml:space="preserve"> ARGO FSRU </w:t>
      </w:r>
      <w:r w:rsidR="002770AC" w:rsidRPr="00B74333">
        <w:rPr>
          <w:rStyle w:val="cf11"/>
          <w:rFonts w:asciiTheme="minorHAnsi" w:hAnsiTheme="minorHAnsi" w:cstheme="minorHAnsi"/>
          <w:sz w:val="24"/>
          <w:szCs w:val="24"/>
        </w:rPr>
        <w:t>(Entry</w:t>
      </w:r>
      <w:r w:rsidR="002770AC" w:rsidRPr="00B74333">
        <w:rPr>
          <w:rStyle w:val="cf01"/>
          <w:rFonts w:asciiTheme="minorHAnsi" w:hAnsiTheme="minorHAnsi" w:cstheme="minorHAnsi"/>
          <w:sz w:val="24"/>
          <w:szCs w:val="24"/>
        </w:rPr>
        <w:t xml:space="preserve"> DESFA) </w:t>
      </w:r>
      <w:r w:rsidR="002770AC" w:rsidRPr="00B74333">
        <w:rPr>
          <w:rStyle w:val="cf21"/>
          <w:rFonts w:asciiTheme="minorHAnsi" w:hAnsiTheme="minorHAnsi" w:cstheme="minorHAnsi"/>
          <w:sz w:val="24"/>
          <w:szCs w:val="24"/>
        </w:rPr>
        <w:t>and (</w:t>
      </w:r>
      <w:r w:rsidR="002770AC" w:rsidRPr="00B74333">
        <w:rPr>
          <w:rStyle w:val="cf31"/>
          <w:rFonts w:asciiTheme="minorHAnsi" w:hAnsiTheme="minorHAnsi" w:cstheme="minorHAnsi"/>
          <w:sz w:val="24"/>
          <w:szCs w:val="24"/>
        </w:rPr>
        <w:t>ix</w:t>
      </w:r>
      <w:r w:rsidR="002770AC" w:rsidRPr="00B74333">
        <w:rPr>
          <w:rStyle w:val="cf21"/>
          <w:rFonts w:asciiTheme="minorHAnsi" w:hAnsiTheme="minorHAnsi" w:cstheme="minorHAnsi"/>
          <w:sz w:val="24"/>
          <w:szCs w:val="24"/>
        </w:rPr>
        <w:t xml:space="preserve">) New </w:t>
      </w:r>
      <w:r w:rsidR="00292EA1" w:rsidRPr="00B74333">
        <w:rPr>
          <w:rStyle w:val="cf31"/>
          <w:rFonts w:asciiTheme="minorHAnsi" w:hAnsiTheme="minorHAnsi" w:cstheme="minorHAnsi"/>
          <w:sz w:val="24"/>
          <w:szCs w:val="24"/>
        </w:rPr>
        <w:t>e</w:t>
      </w:r>
      <w:r w:rsidR="002770AC" w:rsidRPr="00B74333">
        <w:rPr>
          <w:rStyle w:val="cf31"/>
          <w:rFonts w:asciiTheme="minorHAnsi" w:hAnsiTheme="minorHAnsi" w:cstheme="minorHAnsi"/>
          <w:sz w:val="24"/>
          <w:szCs w:val="24"/>
        </w:rPr>
        <w:t>ntry</w:t>
      </w:r>
      <w:r w:rsidR="002770AC" w:rsidRPr="00B74333">
        <w:rPr>
          <w:rStyle w:val="cf21"/>
          <w:rFonts w:asciiTheme="minorHAnsi" w:hAnsiTheme="minorHAnsi" w:cstheme="minorHAnsi"/>
          <w:sz w:val="24"/>
          <w:szCs w:val="24"/>
        </w:rPr>
        <w:t xml:space="preserve"> </w:t>
      </w:r>
      <w:r w:rsidR="00292EA1" w:rsidRPr="00B74333">
        <w:rPr>
          <w:rStyle w:val="cf31"/>
          <w:rFonts w:asciiTheme="minorHAnsi" w:hAnsiTheme="minorHAnsi" w:cstheme="minorHAnsi"/>
          <w:sz w:val="24"/>
          <w:szCs w:val="24"/>
        </w:rPr>
        <w:t>p</w:t>
      </w:r>
      <w:r w:rsidR="002770AC" w:rsidRPr="00B74333">
        <w:rPr>
          <w:rStyle w:val="cf31"/>
          <w:rFonts w:asciiTheme="minorHAnsi" w:hAnsiTheme="minorHAnsi" w:cstheme="minorHAnsi"/>
          <w:sz w:val="24"/>
          <w:szCs w:val="24"/>
        </w:rPr>
        <w:t>oint</w:t>
      </w:r>
      <w:r w:rsidR="002770AC" w:rsidRPr="00B74333">
        <w:rPr>
          <w:rStyle w:val="cf21"/>
          <w:rFonts w:asciiTheme="minorHAnsi" w:hAnsiTheme="minorHAnsi" w:cstheme="minorHAnsi"/>
          <w:sz w:val="24"/>
          <w:szCs w:val="24"/>
        </w:rPr>
        <w:t xml:space="preserve"> </w:t>
      </w:r>
      <w:r w:rsidR="002770AC" w:rsidRPr="00B74333">
        <w:rPr>
          <w:rStyle w:val="cf31"/>
          <w:rFonts w:asciiTheme="minorHAnsi" w:hAnsiTheme="minorHAnsi" w:cstheme="minorHAnsi"/>
          <w:sz w:val="24"/>
          <w:szCs w:val="24"/>
        </w:rPr>
        <w:t>–</w:t>
      </w:r>
      <w:r w:rsidR="002770AC" w:rsidRPr="00B74333">
        <w:rPr>
          <w:rStyle w:val="cf21"/>
          <w:rFonts w:asciiTheme="minorHAnsi" w:hAnsiTheme="minorHAnsi" w:cstheme="minorHAnsi"/>
          <w:sz w:val="24"/>
          <w:szCs w:val="24"/>
        </w:rPr>
        <w:t xml:space="preserve"> DIORYGA GAS FSRU </w:t>
      </w:r>
      <w:r w:rsidR="002770AC" w:rsidRPr="00B74333">
        <w:rPr>
          <w:rStyle w:val="cf11"/>
          <w:rFonts w:asciiTheme="minorHAnsi" w:hAnsiTheme="minorHAnsi" w:cstheme="minorHAnsi"/>
          <w:sz w:val="24"/>
          <w:szCs w:val="24"/>
        </w:rPr>
        <w:t>(Entry</w:t>
      </w:r>
      <w:r w:rsidR="002770AC" w:rsidRPr="00B74333">
        <w:rPr>
          <w:rStyle w:val="cf01"/>
          <w:rFonts w:asciiTheme="minorHAnsi" w:hAnsiTheme="minorHAnsi" w:cstheme="minorHAnsi"/>
          <w:sz w:val="24"/>
          <w:szCs w:val="24"/>
        </w:rPr>
        <w:t xml:space="preserve"> DESFA)</w:t>
      </w:r>
      <w:r w:rsidR="002770AC" w:rsidRPr="00B74333">
        <w:rPr>
          <w:rStyle w:val="cf21"/>
          <w:rFonts w:asciiTheme="minorHAnsi" w:hAnsiTheme="minorHAnsi" w:cstheme="minorHAnsi"/>
          <w:sz w:val="24"/>
          <w:szCs w:val="24"/>
        </w:rPr>
        <w:t>]</w:t>
      </w:r>
      <w:r w:rsidRPr="00B74333">
        <w:rPr>
          <w:rFonts w:eastAsia="Calibri" w:cstheme="minorHAnsi"/>
          <w:color w:val="000000" w:themeColor="text1"/>
          <w:sz w:val="24"/>
          <w:szCs w:val="24"/>
          <w:lang w:bidi="en-US"/>
        </w:rPr>
        <w:t xml:space="preserve"> pursuant to the Transportation Confirmation number [•].</w:t>
      </w:r>
    </w:p>
    <w:p w14:paraId="2C362F04" w14:textId="77777777" w:rsidR="00C461E2" w:rsidRPr="00B74333" w:rsidRDefault="00C461E2" w:rsidP="00C461E2">
      <w:pPr>
        <w:widowControl w:val="0"/>
        <w:tabs>
          <w:tab w:val="left" w:pos="781"/>
        </w:tabs>
        <w:spacing w:after="0" w:line="254" w:lineRule="auto"/>
        <w:jc w:val="both"/>
        <w:rPr>
          <w:rFonts w:eastAsia="Calibri" w:cstheme="minorHAnsi"/>
          <w:color w:val="000000"/>
          <w:sz w:val="24"/>
          <w:szCs w:val="24"/>
          <w:lang w:bidi="en-US"/>
        </w:rPr>
      </w:pPr>
    </w:p>
    <w:p w14:paraId="5B6EA65C" w14:textId="3E59D8F2" w:rsidR="00192F18" w:rsidRPr="00B74333" w:rsidRDefault="00192F18">
      <w:pPr>
        <w:widowControl w:val="0"/>
        <w:numPr>
          <w:ilvl w:val="0"/>
          <w:numId w:val="41"/>
        </w:numPr>
        <w:tabs>
          <w:tab w:val="left" w:pos="781"/>
        </w:tabs>
        <w:spacing w:after="44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DESFA intends to provide the Allocated Capacity to the Company, starting from the Commercial Operation Date, pursuant to applicable Greek Law in force at the time of Commercial Operation Date, subject to the terms of this Agreement.</w:t>
      </w:r>
    </w:p>
    <w:p w14:paraId="3EF0F648" w14:textId="77777777" w:rsidR="00192F18" w:rsidRPr="00B74333" w:rsidRDefault="00192F18" w:rsidP="001A64A1">
      <w:pPr>
        <w:widowControl w:val="0"/>
        <w:spacing w:after="60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IT IS HEREBY AGREED as follows:</w:t>
      </w:r>
    </w:p>
    <w:p w14:paraId="3D250059" w14:textId="77777777" w:rsidR="00192F18" w:rsidRPr="00B74333" w:rsidRDefault="00192F18">
      <w:pPr>
        <w:keepNext/>
        <w:keepLines/>
        <w:widowControl w:val="0"/>
        <w:numPr>
          <w:ilvl w:val="0"/>
          <w:numId w:val="42"/>
        </w:numPr>
        <w:tabs>
          <w:tab w:val="left" w:pos="961"/>
        </w:tabs>
        <w:spacing w:after="80" w:line="254" w:lineRule="auto"/>
        <w:jc w:val="center"/>
        <w:outlineLvl w:val="3"/>
        <w:rPr>
          <w:rFonts w:eastAsia="Calibri" w:cstheme="minorHAnsi"/>
          <w:b/>
          <w:bCs/>
          <w:color w:val="000000"/>
          <w:sz w:val="24"/>
          <w:szCs w:val="24"/>
          <w:lang w:bidi="en-US"/>
        </w:rPr>
      </w:pPr>
      <w:bookmarkStart w:id="94" w:name="bookmark28"/>
      <w:r w:rsidRPr="00B74333">
        <w:rPr>
          <w:rFonts w:eastAsia="Calibri" w:cstheme="minorHAnsi"/>
          <w:b/>
          <w:bCs/>
          <w:color w:val="000000"/>
          <w:sz w:val="24"/>
          <w:szCs w:val="24"/>
          <w:lang w:bidi="en-US"/>
        </w:rPr>
        <w:t>Definitions and Interpretation</w:t>
      </w:r>
      <w:bookmarkEnd w:id="94"/>
    </w:p>
    <w:p w14:paraId="4F8B2827" w14:textId="7F6D5CBE" w:rsidR="00192F18" w:rsidRPr="00B74333" w:rsidRDefault="00192F18" w:rsidP="00192F18">
      <w:pPr>
        <w:widowControl w:val="0"/>
        <w:spacing w:after="120" w:line="276"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For the purposes of this Agreement, the definitions provided for in Law 4001/2011, the </w:t>
      </w:r>
      <w:r w:rsidR="00370C29"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Network Code, the Tariff Regulation, the</w:t>
      </w:r>
      <w:r w:rsidR="0090229C" w:rsidRPr="00B74333">
        <w:rPr>
          <w:rFonts w:eastAsia="Calibri" w:cstheme="minorHAnsi"/>
          <w:color w:val="000000"/>
          <w:sz w:val="24"/>
          <w:szCs w:val="24"/>
          <w:lang w:bidi="en-US"/>
        </w:rPr>
        <w:tab/>
        <w:t xml:space="preserve">NNGS Standard Transmission </w:t>
      </w:r>
      <w:r w:rsidRPr="00B74333" w:rsidDel="0090229C">
        <w:rPr>
          <w:rFonts w:eastAsia="Calibri" w:cstheme="minorHAnsi"/>
          <w:color w:val="000000"/>
          <w:sz w:val="24"/>
          <w:szCs w:val="24"/>
          <w:lang w:bidi="en-US"/>
        </w:rPr>
        <w:t>Agreement</w:t>
      </w:r>
      <w:r w:rsidR="00941EAD" w:rsidRPr="00B74333">
        <w:rPr>
          <w:rFonts w:eastAsia="Calibri" w:cstheme="minorHAnsi"/>
          <w:color w:val="000000"/>
          <w:sz w:val="24"/>
          <w:szCs w:val="24"/>
          <w:lang w:bidi="en-US"/>
        </w:rPr>
        <w:t>, the Guidelines</w:t>
      </w:r>
      <w:r w:rsidRPr="00B74333">
        <w:rPr>
          <w:rFonts w:eastAsia="Calibri" w:cstheme="minorHAnsi"/>
          <w:color w:val="000000"/>
          <w:sz w:val="24"/>
          <w:szCs w:val="24"/>
          <w:lang w:bidi="en-US"/>
        </w:rPr>
        <w:t xml:space="preserve"> and the Project Proposal</w:t>
      </w:r>
      <w:r w:rsidR="00941EAD" w:rsidRPr="00B74333">
        <w:rPr>
          <w:rFonts w:eastAsia="Calibri" w:cstheme="minorHAnsi"/>
          <w:color w:val="000000"/>
          <w:sz w:val="24"/>
          <w:szCs w:val="24"/>
          <w:lang w:bidi="en-US"/>
        </w:rPr>
        <w:t>s</w:t>
      </w:r>
      <w:r w:rsidRPr="00B74333">
        <w:rPr>
          <w:rFonts w:eastAsia="Calibri" w:cstheme="minorHAnsi"/>
          <w:color w:val="000000"/>
          <w:sz w:val="24"/>
          <w:szCs w:val="24"/>
          <w:lang w:bidi="en-US"/>
        </w:rPr>
        <w:t xml:space="preserve"> shall apply. In addition, the following capitalized </w:t>
      </w:r>
      <w:proofErr w:type="gramStart"/>
      <w:r w:rsidRPr="00B74333">
        <w:rPr>
          <w:rFonts w:eastAsia="Calibri" w:cstheme="minorHAnsi"/>
          <w:color w:val="000000"/>
          <w:sz w:val="24"/>
          <w:szCs w:val="24"/>
          <w:lang w:bidi="en-US"/>
        </w:rPr>
        <w:t>terms</w:t>
      </w:r>
      <w:proofErr w:type="gramEnd"/>
      <w:r w:rsidRPr="00B74333">
        <w:rPr>
          <w:rFonts w:eastAsia="Calibri" w:cstheme="minorHAnsi"/>
          <w:color w:val="000000"/>
          <w:sz w:val="24"/>
          <w:szCs w:val="24"/>
          <w:lang w:bidi="en-US"/>
        </w:rPr>
        <w:t xml:space="preserve"> and expressions, when used in this Agreement shall have the following meaning:</w:t>
      </w:r>
    </w:p>
    <w:p w14:paraId="2890477F" w14:textId="77777777" w:rsidR="00192F18" w:rsidRPr="00B74333" w:rsidRDefault="00192F18">
      <w:pPr>
        <w:keepNext/>
        <w:keepLines/>
        <w:widowControl w:val="0"/>
        <w:numPr>
          <w:ilvl w:val="1"/>
          <w:numId w:val="43"/>
        </w:numPr>
        <w:spacing w:after="120" w:line="271" w:lineRule="auto"/>
        <w:jc w:val="both"/>
        <w:outlineLvl w:val="3"/>
        <w:rPr>
          <w:rFonts w:eastAsia="Calibri" w:cstheme="minorHAnsi"/>
          <w:b/>
          <w:bCs/>
          <w:color w:val="000000"/>
          <w:sz w:val="24"/>
          <w:szCs w:val="24"/>
          <w:lang w:bidi="en-US"/>
        </w:rPr>
      </w:pPr>
      <w:bookmarkStart w:id="95" w:name="bookmark30"/>
      <w:r w:rsidRPr="00B74333">
        <w:rPr>
          <w:rFonts w:eastAsia="Calibri" w:cstheme="minorHAnsi"/>
          <w:color w:val="000000"/>
          <w:sz w:val="24"/>
          <w:szCs w:val="24"/>
          <w:lang w:bidi="en-US"/>
        </w:rPr>
        <w:t>Definitions</w:t>
      </w:r>
      <w:bookmarkEnd w:id="95"/>
    </w:p>
    <w:p w14:paraId="4213991F" w14:textId="30907986"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Allocated Capacity </w:t>
      </w:r>
      <w:r w:rsidRPr="00B74333">
        <w:rPr>
          <w:rFonts w:eastAsia="Calibri" w:cstheme="minorHAnsi"/>
          <w:color w:val="000000"/>
          <w:sz w:val="24"/>
          <w:szCs w:val="24"/>
          <w:lang w:bidi="en-US"/>
        </w:rPr>
        <w:t>shall mean the capacity allocated to the Company after the positive outcome of the Binding Bidding Phase and of the Economic Viability Test notified to the Company by means of a Transportation Confirmation.</w:t>
      </w:r>
    </w:p>
    <w:p w14:paraId="22118D99" w14:textId="3192D655" w:rsidR="00BC0762" w:rsidRPr="00B74333" w:rsidRDefault="00BC0762" w:rsidP="00192F18">
      <w:pPr>
        <w:widowControl w:val="0"/>
        <w:spacing w:after="120" w:line="271" w:lineRule="auto"/>
        <w:jc w:val="both"/>
        <w:rPr>
          <w:rFonts w:eastAsia="Calibri" w:cstheme="minorHAnsi"/>
          <w:b/>
          <w:color w:val="000000"/>
          <w:sz w:val="24"/>
          <w:szCs w:val="24"/>
          <w:lang w:bidi="en-US"/>
        </w:rPr>
      </w:pPr>
      <w:r w:rsidRPr="00B74333">
        <w:rPr>
          <w:rFonts w:eastAsia="Calibri" w:cstheme="minorHAnsi"/>
          <w:b/>
          <w:color w:val="000000"/>
          <w:sz w:val="24"/>
          <w:szCs w:val="24"/>
          <w:lang w:bidi="en-US"/>
        </w:rPr>
        <w:t xml:space="preserve">Amfitriti entry point </w:t>
      </w:r>
      <w:r w:rsidR="004D2EAB" w:rsidRPr="00B74333">
        <w:rPr>
          <w:rFonts w:eastAsia="Calibri" w:cstheme="minorHAnsi"/>
          <w:color w:val="000000"/>
          <w:sz w:val="24"/>
          <w:szCs w:val="24"/>
          <w:lang w:bidi="en-US"/>
        </w:rPr>
        <w:t>shall</w:t>
      </w:r>
      <w:r w:rsidR="004D2EAB" w:rsidRPr="00B74333">
        <w:rPr>
          <w:rFonts w:eastAsia="Calibri" w:cstheme="minorHAnsi"/>
          <w:b/>
          <w:bCs/>
          <w:color w:val="000000"/>
          <w:sz w:val="24"/>
          <w:szCs w:val="24"/>
          <w:lang w:bidi="en-US"/>
        </w:rPr>
        <w:t xml:space="preserve"> </w:t>
      </w:r>
      <w:r w:rsidRPr="00B74333">
        <w:rPr>
          <w:rFonts w:eastAsia="Calibri" w:cstheme="minorHAnsi"/>
          <w:color w:val="000000"/>
          <w:sz w:val="24"/>
          <w:szCs w:val="24"/>
          <w:lang w:bidi="en-US"/>
        </w:rPr>
        <w:t xml:space="preserve">mean the entry point to DESFA System in “Amfitriti”, located </w:t>
      </w:r>
      <w:proofErr w:type="gramStart"/>
      <w:r w:rsidRPr="00B74333">
        <w:rPr>
          <w:rFonts w:eastAsia="Calibri" w:cstheme="minorHAnsi"/>
          <w:color w:val="000000"/>
          <w:sz w:val="24"/>
          <w:szCs w:val="24"/>
          <w:lang w:bidi="en-US"/>
        </w:rPr>
        <w:t>in the area of</w:t>
      </w:r>
      <w:proofErr w:type="gramEnd"/>
      <w:r w:rsidRPr="00B74333">
        <w:rPr>
          <w:rFonts w:eastAsia="Calibri" w:cstheme="minorHAnsi"/>
          <w:color w:val="000000"/>
          <w:sz w:val="24"/>
          <w:szCs w:val="24"/>
          <w:lang w:bidi="en-US"/>
        </w:rPr>
        <w:t xml:space="preserve"> Alexandroupolis, through which natural gas will be injected from the independent natural gas system of Alexandroupolis to the NNGTS.</w:t>
      </w:r>
    </w:p>
    <w:p w14:paraId="1CEE5A27" w14:textId="337DCAD2" w:rsidR="008F42E3" w:rsidRPr="00B74333" w:rsidRDefault="00240F01" w:rsidP="00192F18">
      <w:pPr>
        <w:widowControl w:val="0"/>
        <w:spacing w:after="120" w:line="271" w:lineRule="auto"/>
        <w:jc w:val="both"/>
        <w:rPr>
          <w:rFonts w:eastAsia="Calibri" w:cstheme="minorHAnsi"/>
          <w:color w:val="000000"/>
          <w:sz w:val="28"/>
          <w:szCs w:val="28"/>
          <w:lang w:bidi="en-US"/>
        </w:rPr>
      </w:pPr>
      <w:r w:rsidRPr="00B74333">
        <w:rPr>
          <w:rFonts w:cstheme="minorHAnsi"/>
          <w:b/>
          <w:sz w:val="24"/>
          <w:szCs w:val="24"/>
        </w:rPr>
        <w:t xml:space="preserve">BULGARTRANSGAZ </w:t>
      </w:r>
      <w:r w:rsidRPr="00B74333">
        <w:rPr>
          <w:rFonts w:cstheme="minorHAnsi"/>
          <w:b/>
          <w:spacing w:val="1"/>
          <w:sz w:val="24"/>
          <w:szCs w:val="24"/>
        </w:rPr>
        <w:t>System</w:t>
      </w:r>
      <w:r w:rsidRPr="00B74333">
        <w:rPr>
          <w:rFonts w:cstheme="minorHAnsi"/>
          <w:spacing w:val="1"/>
          <w:sz w:val="24"/>
          <w:szCs w:val="24"/>
        </w:rPr>
        <w:t xml:space="preserve"> </w:t>
      </w:r>
      <w:r w:rsidR="004D2EAB" w:rsidRPr="00B74333">
        <w:rPr>
          <w:rFonts w:cstheme="minorHAnsi"/>
          <w:spacing w:val="1"/>
          <w:sz w:val="24"/>
          <w:szCs w:val="24"/>
        </w:rPr>
        <w:t xml:space="preserve">shall </w:t>
      </w:r>
      <w:r w:rsidRPr="00B74333">
        <w:rPr>
          <w:rFonts w:cstheme="minorHAnsi"/>
          <w:spacing w:val="1"/>
          <w:sz w:val="24"/>
          <w:szCs w:val="24"/>
        </w:rPr>
        <w:t xml:space="preserve">mean the Bulgarian </w:t>
      </w:r>
      <w:r w:rsidRPr="00B74333">
        <w:rPr>
          <w:rFonts w:cstheme="minorHAnsi"/>
          <w:sz w:val="24"/>
          <w:szCs w:val="24"/>
        </w:rPr>
        <w:t xml:space="preserve">gas Transmission System, operated by </w:t>
      </w:r>
      <w:r w:rsidRPr="00B74333">
        <w:rPr>
          <w:rFonts w:cstheme="minorHAnsi"/>
          <w:sz w:val="24"/>
          <w:szCs w:val="24"/>
        </w:rPr>
        <w:lastRenderedPageBreak/>
        <w:t>BULGARTRANSGAZ EAD.</w:t>
      </w:r>
    </w:p>
    <w:p w14:paraId="5FC1E6C0" w14:textId="14D5B4A6"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Business Day </w:t>
      </w:r>
      <w:r w:rsidRPr="00B74333">
        <w:rPr>
          <w:rFonts w:eastAsia="Calibri" w:cstheme="minorHAnsi"/>
          <w:color w:val="000000"/>
          <w:sz w:val="24"/>
          <w:szCs w:val="24"/>
          <w:lang w:bidi="en-US"/>
        </w:rPr>
        <w:t xml:space="preserve">shall mean any day that is not a Saturday, </w:t>
      </w:r>
      <w:proofErr w:type="gramStart"/>
      <w:r w:rsidRPr="00B74333">
        <w:rPr>
          <w:rFonts w:eastAsia="Calibri" w:cstheme="minorHAnsi"/>
          <w:color w:val="000000"/>
          <w:sz w:val="24"/>
          <w:szCs w:val="24"/>
          <w:lang w:bidi="en-US"/>
        </w:rPr>
        <w:t>Sunday</w:t>
      </w:r>
      <w:proofErr w:type="gramEnd"/>
      <w:r w:rsidRPr="00B74333">
        <w:rPr>
          <w:rFonts w:eastAsia="Calibri" w:cstheme="minorHAnsi"/>
          <w:color w:val="000000"/>
          <w:sz w:val="24"/>
          <w:szCs w:val="24"/>
          <w:lang w:bidi="en-US"/>
        </w:rPr>
        <w:t xml:space="preserve"> or public holiday in the Hellenic Republic.</w:t>
      </w:r>
    </w:p>
    <w:p w14:paraId="2CBE2C04" w14:textId="63B284CB"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CAM NC </w:t>
      </w:r>
      <w:r w:rsidR="004D2EAB" w:rsidRPr="00B74333">
        <w:rPr>
          <w:rFonts w:eastAsia="Calibri" w:cstheme="minorHAnsi"/>
          <w:color w:val="000000"/>
          <w:sz w:val="24"/>
          <w:szCs w:val="24"/>
          <w:lang w:bidi="en-US"/>
        </w:rPr>
        <w:t>shall</w:t>
      </w:r>
      <w:r w:rsidR="004D2EAB" w:rsidRPr="00B74333">
        <w:rPr>
          <w:rFonts w:eastAsia="Calibri" w:cstheme="minorHAnsi"/>
          <w:b/>
          <w:bCs/>
          <w:color w:val="000000"/>
          <w:sz w:val="24"/>
          <w:szCs w:val="24"/>
          <w:lang w:bidi="en-US"/>
        </w:rPr>
        <w:t xml:space="preserve"> </w:t>
      </w:r>
      <w:r w:rsidRPr="00B74333">
        <w:rPr>
          <w:rFonts w:eastAsia="Calibri" w:cstheme="minorHAnsi"/>
          <w:color w:val="000000"/>
          <w:sz w:val="24"/>
          <w:szCs w:val="24"/>
          <w:lang w:bidi="en-US"/>
        </w:rPr>
        <w:t>mean Regulation (EU) no 2017/459.</w:t>
      </w:r>
    </w:p>
    <w:p w14:paraId="16AB6E3F" w14:textId="29992D6A"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Capacity </w:t>
      </w:r>
      <w:r w:rsidRPr="00B74333">
        <w:rPr>
          <w:rFonts w:eastAsia="Calibri" w:cstheme="minorHAnsi"/>
          <w:color w:val="000000"/>
          <w:sz w:val="24"/>
          <w:szCs w:val="24"/>
          <w:lang w:bidi="en-US"/>
        </w:rPr>
        <w:t>shall mean transmission capacity as defined in Regulation (EC) 715/2009.</w:t>
      </w:r>
    </w:p>
    <w:p w14:paraId="49B123BA" w14:textId="529D4233"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Competent Authority </w:t>
      </w:r>
      <w:r w:rsidR="003C49AA" w:rsidRPr="00B74333">
        <w:rPr>
          <w:rFonts w:eastAsia="Calibri" w:cstheme="minorHAnsi"/>
          <w:color w:val="000000"/>
          <w:sz w:val="24"/>
          <w:szCs w:val="24"/>
          <w:lang w:bidi="en-US"/>
        </w:rPr>
        <w:t xml:space="preserve">shall </w:t>
      </w:r>
      <w:r w:rsidRPr="00B74333">
        <w:rPr>
          <w:rFonts w:eastAsia="Calibri" w:cstheme="minorHAnsi"/>
          <w:color w:val="000000"/>
          <w:sz w:val="24"/>
          <w:szCs w:val="24"/>
          <w:lang w:bidi="en-US"/>
        </w:rPr>
        <w:t xml:space="preserve">mean any national, supranational, </w:t>
      </w:r>
      <w:proofErr w:type="gramStart"/>
      <w:r w:rsidRPr="00B74333">
        <w:rPr>
          <w:rFonts w:eastAsia="Calibri" w:cstheme="minorHAnsi"/>
          <w:color w:val="000000"/>
          <w:sz w:val="24"/>
          <w:szCs w:val="24"/>
          <w:lang w:bidi="en-US"/>
        </w:rPr>
        <w:t>regional</w:t>
      </w:r>
      <w:proofErr w:type="gramEnd"/>
      <w:r w:rsidRPr="00B74333">
        <w:rPr>
          <w:rFonts w:eastAsia="Calibri" w:cstheme="minorHAnsi"/>
          <w:color w:val="000000"/>
          <w:sz w:val="24"/>
          <w:szCs w:val="24"/>
          <w:lang w:bidi="en-US"/>
        </w:rPr>
        <w:t xml:space="preserve"> or local government or governmental or administrative, fiscal, judicial or government-owned body, department, commission, authority, tribunal, court of law, agency, inspectorate, ministry, official or public or statutory person having or asserting jurisdiction over any of the Parties or either of their assets/property or their operation.</w:t>
      </w:r>
    </w:p>
    <w:p w14:paraId="1989BB99" w14:textId="7DC500A4" w:rsidR="0081696D" w:rsidRPr="00B74333" w:rsidRDefault="00192F18" w:rsidP="00B77A3D">
      <w:pPr>
        <w:widowControl w:val="0"/>
        <w:spacing w:after="120" w:line="271" w:lineRule="auto"/>
        <w:jc w:val="both"/>
        <w:rPr>
          <w:rFonts w:cstheme="minorHAnsi"/>
          <w:b/>
        </w:rPr>
      </w:pPr>
      <w:r w:rsidRPr="00B74333">
        <w:rPr>
          <w:rFonts w:eastAsia="Calibri" w:cstheme="minorHAnsi"/>
          <w:b/>
          <w:bCs/>
          <w:color w:val="000000"/>
          <w:sz w:val="24"/>
          <w:szCs w:val="24"/>
          <w:lang w:bidi="en-US"/>
        </w:rPr>
        <w:t xml:space="preserve">Confidential Information </w:t>
      </w:r>
      <w:r w:rsidRPr="00B74333">
        <w:rPr>
          <w:rFonts w:eastAsia="Calibri" w:cstheme="minorHAnsi"/>
          <w:color w:val="000000"/>
          <w:sz w:val="24"/>
          <w:szCs w:val="24"/>
          <w:lang w:bidi="en-US"/>
        </w:rPr>
        <w:t xml:space="preserve">shall </w:t>
      </w:r>
      <w:r w:rsidRPr="00B74333">
        <w:rPr>
          <w:rFonts w:eastAsia="Calibri" w:cstheme="minorHAnsi"/>
          <w:bCs/>
          <w:color w:val="000000"/>
          <w:sz w:val="24"/>
          <w:szCs w:val="24"/>
          <w:lang w:bidi="en-US"/>
        </w:rPr>
        <w:t>have</w:t>
      </w:r>
      <w:r w:rsidRPr="00B74333">
        <w:rPr>
          <w:rFonts w:eastAsia="Calibri" w:cstheme="minorHAnsi"/>
          <w:color w:val="000000"/>
          <w:sz w:val="24"/>
          <w:szCs w:val="24"/>
          <w:lang w:bidi="en-US"/>
        </w:rPr>
        <w:t xml:space="preserve"> the meaning assigned to it in Article 8.</w:t>
      </w:r>
    </w:p>
    <w:p w14:paraId="471D9D3A" w14:textId="6DDCA1B0"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Consequential Loss </w:t>
      </w:r>
      <w:r w:rsidRPr="00B74333">
        <w:rPr>
          <w:rFonts w:eastAsia="Calibri" w:cstheme="minorHAnsi"/>
          <w:color w:val="000000"/>
          <w:sz w:val="24"/>
          <w:szCs w:val="24"/>
          <w:lang w:bidi="en-US"/>
        </w:rPr>
        <w:t xml:space="preserve">shall mean any consequential, </w:t>
      </w:r>
      <w:proofErr w:type="gramStart"/>
      <w:r w:rsidRPr="00B74333">
        <w:rPr>
          <w:rFonts w:eastAsia="Calibri" w:cstheme="minorHAnsi"/>
          <w:color w:val="000000"/>
          <w:sz w:val="24"/>
          <w:szCs w:val="24"/>
          <w:lang w:bidi="en-US"/>
        </w:rPr>
        <w:t>incidental</w:t>
      </w:r>
      <w:proofErr w:type="gramEnd"/>
      <w:r w:rsidRPr="00B74333">
        <w:rPr>
          <w:rFonts w:eastAsia="Calibri" w:cstheme="minorHAnsi"/>
          <w:color w:val="000000"/>
          <w:sz w:val="24"/>
          <w:szCs w:val="24"/>
          <w:lang w:bidi="en-US"/>
        </w:rPr>
        <w:t xml:space="preserve"> or indirect damages, including loss of opportunity, damage to reputation, loss of profits or economic loss however caused whether under this Agreement or in tort (including negligence).</w:t>
      </w:r>
    </w:p>
    <w:p w14:paraId="562590C3" w14:textId="2D888EE6" w:rsidR="00192F18" w:rsidRPr="00B74333" w:rsidRDefault="00192F18" w:rsidP="00192F18">
      <w:pPr>
        <w:widowControl w:val="0"/>
        <w:spacing w:after="120" w:line="276"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Commercial Operation Date (“or COD”) </w:t>
      </w:r>
      <w:r w:rsidRPr="00B74333">
        <w:rPr>
          <w:rFonts w:eastAsia="Calibri" w:cstheme="minorHAnsi"/>
          <w:color w:val="000000"/>
          <w:sz w:val="24"/>
          <w:szCs w:val="24"/>
          <w:lang w:bidi="en-US"/>
        </w:rPr>
        <w:t xml:space="preserve">shall mean the Gas Day that DESFA Notifies to the Company (as at the date of that Notice) as being the date on which it is ready to commence commercial operation of the </w:t>
      </w:r>
      <w:r w:rsidR="00C31218" w:rsidRPr="00B74333">
        <w:rPr>
          <w:rFonts w:eastAsia="Calibri" w:cstheme="minorHAnsi"/>
          <w:color w:val="000000"/>
          <w:sz w:val="24"/>
          <w:szCs w:val="24"/>
          <w:lang w:bidi="en-US"/>
        </w:rPr>
        <w:t xml:space="preserve">DESFA Part of the Project </w:t>
      </w:r>
      <w:r w:rsidRPr="00B74333">
        <w:rPr>
          <w:rFonts w:eastAsia="Calibri" w:cstheme="minorHAnsi"/>
          <w:color w:val="000000"/>
          <w:sz w:val="24"/>
          <w:szCs w:val="24"/>
          <w:lang w:bidi="en-US"/>
        </w:rPr>
        <w:t>and which thereafter will be published on DESFA's website.</w:t>
      </w:r>
    </w:p>
    <w:p w14:paraId="5544A7E2" w14:textId="18366755" w:rsidR="00874D67" w:rsidRPr="00B74333" w:rsidRDefault="00770BB6" w:rsidP="00770BB6">
      <w:pPr>
        <w:suppressAutoHyphens/>
        <w:spacing w:after="120" w:line="252" w:lineRule="auto"/>
        <w:jc w:val="both"/>
        <w:rPr>
          <w:rFonts w:eastAsia="Calibri" w:cstheme="minorHAnsi"/>
          <w:color w:val="000000"/>
          <w:sz w:val="24"/>
          <w:szCs w:val="24"/>
          <w:lang w:bidi="en-US"/>
        </w:rPr>
      </w:pPr>
      <w:r w:rsidRPr="00B74333">
        <w:rPr>
          <w:rFonts w:eastAsia="Calibri" w:cstheme="minorHAnsi"/>
          <w:b/>
          <w:color w:val="000000"/>
          <w:sz w:val="24"/>
          <w:szCs w:val="24"/>
          <w:lang w:bidi="en-US"/>
        </w:rPr>
        <w:t>Coupled Capacity</w:t>
      </w:r>
      <w:r w:rsidRPr="00B74333">
        <w:rPr>
          <w:rFonts w:cstheme="minorHAnsi"/>
          <w:b/>
        </w:rPr>
        <w:t xml:space="preserve"> </w:t>
      </w:r>
      <w:r w:rsidRPr="00B74333">
        <w:rPr>
          <w:rFonts w:eastAsia="Calibri" w:cstheme="minorHAnsi"/>
          <w:color w:val="000000"/>
          <w:sz w:val="24"/>
          <w:szCs w:val="24"/>
          <w:lang w:bidi="en-US"/>
        </w:rPr>
        <w:t>refers to the provision of natural gas transmission services in coupled points according to the provisions of chapter 2D of NNGS Network Code as in force from time to time.</w:t>
      </w:r>
    </w:p>
    <w:p w14:paraId="277E7569" w14:textId="132123EF" w:rsidR="000F243C" w:rsidRPr="00B74333" w:rsidRDefault="000F243C" w:rsidP="00140283">
      <w:pPr>
        <w:suppressAutoHyphens/>
        <w:spacing w:after="120" w:line="252" w:lineRule="auto"/>
        <w:jc w:val="both"/>
        <w:rPr>
          <w:rFonts w:eastAsia="Arial" w:cstheme="minorHAnsi"/>
          <w:b/>
          <w:sz w:val="24"/>
          <w:szCs w:val="24"/>
        </w:rPr>
      </w:pPr>
      <w:r w:rsidRPr="00B74333">
        <w:rPr>
          <w:rFonts w:cstheme="minorHAnsi"/>
          <w:b/>
          <w:sz w:val="24"/>
          <w:szCs w:val="24"/>
        </w:rPr>
        <w:t>DESFA System</w:t>
      </w:r>
      <w:r w:rsidRPr="00B74333">
        <w:rPr>
          <w:rFonts w:cstheme="minorHAnsi"/>
          <w:sz w:val="24"/>
          <w:szCs w:val="24"/>
        </w:rPr>
        <w:t xml:space="preserve"> </w:t>
      </w:r>
      <w:r w:rsidRPr="00B74333">
        <w:rPr>
          <w:rFonts w:cstheme="minorHAnsi"/>
          <w:b/>
          <w:sz w:val="24"/>
          <w:szCs w:val="24"/>
        </w:rPr>
        <w:t xml:space="preserve">(or </w:t>
      </w:r>
      <w:r w:rsidR="00F57BC1" w:rsidRPr="00B74333">
        <w:rPr>
          <w:rFonts w:cstheme="minorHAnsi"/>
          <w:b/>
          <w:sz w:val="24"/>
          <w:szCs w:val="24"/>
        </w:rPr>
        <w:t>“</w:t>
      </w:r>
      <w:r w:rsidRPr="00B74333">
        <w:rPr>
          <w:rFonts w:cstheme="minorHAnsi"/>
          <w:b/>
          <w:sz w:val="24"/>
          <w:szCs w:val="24"/>
        </w:rPr>
        <w:t>NNGTS</w:t>
      </w:r>
      <w:r w:rsidR="00F57BC1" w:rsidRPr="00B74333">
        <w:rPr>
          <w:rFonts w:cstheme="minorHAnsi"/>
          <w:b/>
          <w:sz w:val="24"/>
          <w:szCs w:val="24"/>
        </w:rPr>
        <w:t>”</w:t>
      </w:r>
      <w:r w:rsidRPr="00B74333">
        <w:rPr>
          <w:rFonts w:cstheme="minorHAnsi"/>
          <w:b/>
          <w:sz w:val="24"/>
          <w:szCs w:val="24"/>
        </w:rPr>
        <w:t>)</w:t>
      </w:r>
      <w:r w:rsidRPr="00B74333">
        <w:rPr>
          <w:rFonts w:cstheme="minorHAnsi"/>
          <w:sz w:val="24"/>
          <w:szCs w:val="24"/>
        </w:rPr>
        <w:t xml:space="preserve"> </w:t>
      </w:r>
      <w:r w:rsidR="00233D0D" w:rsidRPr="00B74333">
        <w:rPr>
          <w:rFonts w:cstheme="minorHAnsi"/>
          <w:sz w:val="24"/>
          <w:szCs w:val="24"/>
        </w:rPr>
        <w:t xml:space="preserve">shall </w:t>
      </w:r>
      <w:r w:rsidRPr="00B74333">
        <w:rPr>
          <w:rFonts w:cstheme="minorHAnsi"/>
          <w:sz w:val="24"/>
          <w:szCs w:val="24"/>
        </w:rPr>
        <w:t>mean the National Natural Gas Transmission System of Greece, operated by DESFA.</w:t>
      </w:r>
    </w:p>
    <w:p w14:paraId="07D25469" w14:textId="77B53AE7"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Effective Date </w:t>
      </w:r>
      <w:r w:rsidRPr="00B74333">
        <w:rPr>
          <w:rFonts w:eastAsia="Calibri" w:cstheme="minorHAnsi"/>
          <w:color w:val="000000"/>
          <w:sz w:val="24"/>
          <w:szCs w:val="24"/>
          <w:lang w:bidi="en-US"/>
        </w:rPr>
        <w:t>shall mean the date that this Agreement has been executed by both Parties.</w:t>
      </w:r>
    </w:p>
    <w:p w14:paraId="3476506E" w14:textId="499DB992" w:rsidR="00064051"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Economic Viability Test (or “EVT”) </w:t>
      </w:r>
      <w:r w:rsidRPr="00B74333">
        <w:rPr>
          <w:rFonts w:eastAsia="Calibri" w:cstheme="minorHAnsi"/>
          <w:color w:val="000000"/>
          <w:sz w:val="24"/>
          <w:szCs w:val="24"/>
          <w:lang w:bidi="en-US"/>
        </w:rPr>
        <w:t xml:space="preserve">shall have the meaning assigned to it in </w:t>
      </w:r>
      <w:r w:rsidR="007E5C5D" w:rsidRPr="00B74333">
        <w:rPr>
          <w:rFonts w:eastAsia="Calibri" w:cstheme="minorHAnsi"/>
          <w:color w:val="000000"/>
          <w:sz w:val="24"/>
          <w:szCs w:val="24"/>
          <w:lang w:bidi="en-US"/>
        </w:rPr>
        <w:t>Annex I</w:t>
      </w:r>
      <w:r w:rsidRPr="00B74333">
        <w:rPr>
          <w:rFonts w:eastAsia="Calibri" w:cstheme="minorHAnsi"/>
          <w:color w:val="000000"/>
          <w:sz w:val="24"/>
          <w:szCs w:val="24"/>
          <w:lang w:bidi="en-US"/>
        </w:rPr>
        <w:t xml:space="preserve"> of the</w:t>
      </w:r>
      <w:r w:rsidR="00A74944" w:rsidRPr="00B74333">
        <w:rPr>
          <w:rFonts w:eastAsia="Calibri" w:cstheme="minorHAnsi"/>
          <w:color w:val="000000"/>
          <w:sz w:val="24"/>
          <w:szCs w:val="24"/>
          <w:lang w:bidi="en-US"/>
        </w:rPr>
        <w:t xml:space="preserve"> Guidelines</w:t>
      </w:r>
      <w:r w:rsidRPr="00B74333">
        <w:rPr>
          <w:rFonts w:eastAsia="Calibri" w:cstheme="minorHAnsi"/>
          <w:color w:val="000000"/>
          <w:sz w:val="24"/>
          <w:szCs w:val="24"/>
          <w:lang w:bidi="en-US"/>
        </w:rPr>
        <w:t>.</w:t>
      </w:r>
    </w:p>
    <w:p w14:paraId="66D6CE98" w14:textId="3C021768" w:rsidR="00064051" w:rsidRPr="00B74333" w:rsidRDefault="00064051">
      <w:pPr>
        <w:suppressAutoHyphens/>
        <w:spacing w:after="120" w:line="252" w:lineRule="auto"/>
        <w:jc w:val="both"/>
        <w:rPr>
          <w:rFonts w:cstheme="minorHAnsi"/>
          <w:sz w:val="24"/>
          <w:szCs w:val="24"/>
        </w:rPr>
      </w:pPr>
      <w:r w:rsidRPr="00B74333">
        <w:rPr>
          <w:rFonts w:cstheme="minorHAnsi"/>
          <w:b/>
          <w:sz w:val="24"/>
          <w:szCs w:val="24"/>
        </w:rPr>
        <w:t>Entry Point</w:t>
      </w:r>
      <w:r w:rsidR="00B8431C" w:rsidRPr="00B74333">
        <w:rPr>
          <w:rFonts w:cstheme="minorHAnsi"/>
          <w:b/>
          <w:sz w:val="24"/>
          <w:szCs w:val="24"/>
        </w:rPr>
        <w:t>s</w:t>
      </w:r>
      <w:r w:rsidRPr="00B74333">
        <w:rPr>
          <w:rFonts w:cstheme="minorHAnsi"/>
          <w:b/>
          <w:sz w:val="24"/>
          <w:szCs w:val="24"/>
        </w:rPr>
        <w:t xml:space="preserve"> </w:t>
      </w:r>
      <w:r w:rsidR="00F51C9A" w:rsidRPr="00B74333">
        <w:rPr>
          <w:rFonts w:cstheme="minorHAnsi"/>
          <w:sz w:val="24"/>
          <w:szCs w:val="24"/>
        </w:rPr>
        <w:t>shall</w:t>
      </w:r>
      <w:r w:rsidR="00F51C9A" w:rsidRPr="00B74333">
        <w:rPr>
          <w:rFonts w:cstheme="minorHAnsi"/>
          <w:b/>
          <w:sz w:val="24"/>
          <w:szCs w:val="24"/>
        </w:rPr>
        <w:t xml:space="preserve"> </w:t>
      </w:r>
      <w:r w:rsidR="009A2353" w:rsidRPr="00B74333">
        <w:rPr>
          <w:rFonts w:cstheme="minorHAnsi"/>
          <w:sz w:val="24"/>
          <w:szCs w:val="24"/>
        </w:rPr>
        <w:t>mean the Amfitriti entry point of the NNGTS and the prospective entry points pertaining to the FSRUs of the Project Promoters.</w:t>
      </w:r>
    </w:p>
    <w:p w14:paraId="5F0EC8DE" w14:textId="77777777" w:rsidR="003A4E8C" w:rsidRPr="00B74333" w:rsidRDefault="003A4E8C" w:rsidP="003A4E8C">
      <w:pPr>
        <w:suppressAutoHyphens/>
        <w:spacing w:after="120" w:line="252" w:lineRule="auto"/>
        <w:jc w:val="both"/>
        <w:rPr>
          <w:rFonts w:cstheme="minorHAnsi"/>
          <w:sz w:val="24"/>
          <w:szCs w:val="24"/>
        </w:rPr>
      </w:pPr>
      <w:r w:rsidRPr="00B74333">
        <w:rPr>
          <w:rFonts w:cstheme="minorHAnsi"/>
          <w:b/>
          <w:bCs/>
          <w:sz w:val="24"/>
          <w:szCs w:val="24"/>
        </w:rPr>
        <w:t>Final Investment Decision (or “FID”)</w:t>
      </w:r>
      <w:r w:rsidRPr="00B74333">
        <w:rPr>
          <w:rFonts w:cstheme="minorHAnsi"/>
          <w:sz w:val="24"/>
          <w:szCs w:val="24"/>
        </w:rPr>
        <w:t xml:space="preserve"> shall</w:t>
      </w:r>
      <w:r w:rsidRPr="00B74333">
        <w:rPr>
          <w:rFonts w:cstheme="minorHAnsi"/>
          <w:b/>
          <w:sz w:val="24"/>
          <w:szCs w:val="24"/>
        </w:rPr>
        <w:t xml:space="preserve"> </w:t>
      </w:r>
      <w:r w:rsidRPr="00B74333">
        <w:rPr>
          <w:rFonts w:cstheme="minorHAnsi"/>
          <w:sz w:val="24"/>
          <w:szCs w:val="24"/>
        </w:rPr>
        <w:t>mean the decision of DESFA approving the implementation of the DESFA Part of the Project.</w:t>
      </w:r>
    </w:p>
    <w:p w14:paraId="46C4594B" w14:textId="120BFABE"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Force Majeure </w:t>
      </w:r>
      <w:r w:rsidRPr="00B74333">
        <w:rPr>
          <w:rFonts w:eastAsia="Calibri" w:cstheme="minorHAnsi"/>
          <w:color w:val="000000"/>
          <w:sz w:val="24"/>
          <w:szCs w:val="24"/>
          <w:lang w:bidi="en-US"/>
        </w:rPr>
        <w:t>shall have the meaning assigned to it in Article 7.</w:t>
      </w:r>
    </w:p>
    <w:p w14:paraId="75A26F87" w14:textId="78EFE2BC"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Gas Year </w:t>
      </w:r>
      <w:r w:rsidRPr="00B74333">
        <w:rPr>
          <w:rFonts w:eastAsia="Calibri" w:cstheme="minorHAnsi"/>
          <w:color w:val="000000"/>
          <w:sz w:val="24"/>
          <w:szCs w:val="24"/>
          <w:lang w:bidi="en-US"/>
        </w:rPr>
        <w:t xml:space="preserve">shall mean </w:t>
      </w:r>
      <w:proofErr w:type="gramStart"/>
      <w:r w:rsidRPr="00B74333">
        <w:rPr>
          <w:rFonts w:eastAsia="Calibri" w:cstheme="minorHAnsi"/>
          <w:color w:val="000000"/>
          <w:sz w:val="24"/>
          <w:szCs w:val="24"/>
          <w:lang w:bidi="en-US"/>
        </w:rPr>
        <w:t>a time period</w:t>
      </w:r>
      <w:proofErr w:type="gramEnd"/>
      <w:r w:rsidRPr="00B74333">
        <w:rPr>
          <w:rFonts w:eastAsia="Calibri" w:cstheme="minorHAnsi"/>
          <w:color w:val="000000"/>
          <w:sz w:val="24"/>
          <w:szCs w:val="24"/>
          <w:lang w:bidi="en-US"/>
        </w:rPr>
        <w:t xml:space="preserve"> of twelve consecutive months, starting at 7.00 am on October 1st of a year and ending at 7.00 am on October 1st of the subsequent year.</w:t>
      </w:r>
    </w:p>
    <w:p w14:paraId="739D93B6" w14:textId="617053AC"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Gas Transportation Agreements (or “GTA”) </w:t>
      </w:r>
      <w:r w:rsidR="00F51C9A" w:rsidRPr="00B74333">
        <w:rPr>
          <w:rFonts w:eastAsia="Calibri" w:cstheme="minorHAnsi"/>
          <w:color w:val="000000"/>
          <w:sz w:val="24"/>
          <w:szCs w:val="24"/>
          <w:lang w:bidi="en-US"/>
        </w:rPr>
        <w:t>shall</w:t>
      </w:r>
      <w:r w:rsidR="00F51C9A" w:rsidRPr="00B74333">
        <w:rPr>
          <w:rFonts w:eastAsia="Calibri" w:cstheme="minorHAnsi"/>
          <w:b/>
          <w:bCs/>
          <w:color w:val="000000"/>
          <w:sz w:val="24"/>
          <w:szCs w:val="24"/>
          <w:lang w:bidi="en-US"/>
        </w:rPr>
        <w:t xml:space="preserve"> </w:t>
      </w:r>
      <w:r w:rsidRPr="00B74333">
        <w:rPr>
          <w:rFonts w:eastAsia="Calibri" w:cstheme="minorHAnsi"/>
          <w:color w:val="000000"/>
          <w:sz w:val="24"/>
          <w:szCs w:val="24"/>
          <w:lang w:bidi="en-US"/>
        </w:rPr>
        <w:t xml:space="preserve">mean the agreements executed between </w:t>
      </w:r>
      <w:r w:rsidRPr="00B74333">
        <w:rPr>
          <w:rFonts w:eastAsia="Calibri" w:cstheme="minorHAnsi"/>
          <w:color w:val="000000"/>
          <w:sz w:val="24"/>
          <w:szCs w:val="24"/>
          <w:lang w:bidi="en-US"/>
        </w:rPr>
        <w:lastRenderedPageBreak/>
        <w:t>the Participants and the TSO’s</w:t>
      </w:r>
      <w:proofErr w:type="gramStart"/>
      <w:r w:rsidRPr="00B74333">
        <w:rPr>
          <w:rFonts w:eastAsia="Calibri" w:cstheme="minorHAnsi"/>
          <w:color w:val="000000"/>
          <w:sz w:val="24"/>
          <w:szCs w:val="24"/>
          <w:lang w:bidi="en-US"/>
        </w:rPr>
        <w:t>, as the case may be, for</w:t>
      </w:r>
      <w:proofErr w:type="gramEnd"/>
      <w:r w:rsidRPr="00B74333">
        <w:rPr>
          <w:rFonts w:eastAsia="Calibri" w:cstheme="minorHAnsi"/>
          <w:color w:val="000000"/>
          <w:sz w:val="24"/>
          <w:szCs w:val="24"/>
          <w:lang w:bidi="en-US"/>
        </w:rPr>
        <w:t xml:space="preserve"> the capacity allocated to them after the positive outcome of the Binding Bidding Phase and of the Economic Viability Test.</w:t>
      </w:r>
    </w:p>
    <w:p w14:paraId="35C6DA20" w14:textId="1287083A" w:rsidR="00C167F6" w:rsidRPr="00B74333" w:rsidRDefault="00192F18" w:rsidP="00C167F6">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GTA Assignee </w:t>
      </w:r>
      <w:r w:rsidRPr="00B74333">
        <w:rPr>
          <w:rFonts w:eastAsia="Calibri" w:cstheme="minorHAnsi"/>
          <w:color w:val="000000"/>
          <w:sz w:val="24"/>
          <w:szCs w:val="24"/>
          <w:lang w:bidi="en-US"/>
        </w:rPr>
        <w:t xml:space="preserve">shall mean a Transmission User registered in the National Natural Gas System Users Registry of the </w:t>
      </w:r>
      <w:r w:rsidR="00CD5B50" w:rsidRPr="00B74333">
        <w:rPr>
          <w:rFonts w:eastAsia="Calibri" w:cstheme="minorHAnsi"/>
          <w:color w:val="000000"/>
          <w:sz w:val="24"/>
          <w:szCs w:val="24"/>
          <w:lang w:bidi="en-US"/>
        </w:rPr>
        <w:t>RA</w:t>
      </w:r>
      <w:r w:rsidR="002B0925" w:rsidRPr="00B74333">
        <w:rPr>
          <w:rFonts w:eastAsia="Calibri" w:cstheme="minorHAnsi"/>
          <w:color w:val="000000"/>
          <w:sz w:val="24"/>
          <w:szCs w:val="24"/>
          <w:lang w:bidi="en-US"/>
        </w:rPr>
        <w:t>E</w:t>
      </w:r>
      <w:r w:rsidR="00CD5B50" w:rsidRPr="00B74333">
        <w:rPr>
          <w:rFonts w:eastAsia="Calibri" w:cstheme="minorHAnsi"/>
          <w:color w:val="000000"/>
          <w:sz w:val="24"/>
          <w:szCs w:val="24"/>
          <w:lang w:bidi="en-US"/>
        </w:rPr>
        <w:t>WW</w:t>
      </w:r>
      <w:r w:rsidRPr="00B74333">
        <w:rPr>
          <w:rFonts w:eastAsia="Calibri" w:cstheme="minorHAnsi"/>
          <w:color w:val="000000"/>
          <w:sz w:val="24"/>
          <w:szCs w:val="24"/>
          <w:lang w:bidi="en-US"/>
        </w:rPr>
        <w:t xml:space="preserve"> and having signed a </w:t>
      </w:r>
      <w:r w:rsidR="002B0925" w:rsidRPr="00B74333">
        <w:rPr>
          <w:rFonts w:eastAsia="Calibri" w:cstheme="minorHAnsi"/>
          <w:color w:val="000000"/>
          <w:sz w:val="24"/>
          <w:szCs w:val="24"/>
          <w:lang w:bidi="en-US"/>
        </w:rPr>
        <w:t xml:space="preserve">NNGS Standard Transmission </w:t>
      </w:r>
      <w:r w:rsidRPr="00B74333" w:rsidDel="002B0925">
        <w:rPr>
          <w:rFonts w:eastAsia="Calibri" w:cstheme="minorHAnsi"/>
          <w:color w:val="000000"/>
          <w:sz w:val="24"/>
          <w:szCs w:val="24"/>
          <w:lang w:bidi="en-US"/>
        </w:rPr>
        <w:t>Agreement</w:t>
      </w:r>
      <w:r w:rsidRPr="00B74333">
        <w:rPr>
          <w:rFonts w:eastAsia="Calibri" w:cstheme="minorHAnsi"/>
          <w:color w:val="000000"/>
          <w:sz w:val="24"/>
          <w:szCs w:val="24"/>
          <w:lang w:bidi="en-US"/>
        </w:rPr>
        <w:t xml:space="preserve"> with DESFA, to whom the Company is entitled to assign this Agreement pursuant to Article 6.</w:t>
      </w:r>
    </w:p>
    <w:p w14:paraId="579A05D6" w14:textId="61536319" w:rsidR="00BE512A" w:rsidRPr="00B74333" w:rsidRDefault="00BE512A" w:rsidP="00BE512A">
      <w:pPr>
        <w:suppressAutoHyphens/>
        <w:spacing w:after="120" w:line="252" w:lineRule="auto"/>
        <w:jc w:val="both"/>
        <w:rPr>
          <w:rFonts w:cstheme="minorHAnsi"/>
          <w:b/>
          <w:sz w:val="24"/>
          <w:szCs w:val="24"/>
        </w:rPr>
      </w:pPr>
      <w:r w:rsidRPr="00B74333">
        <w:rPr>
          <w:rFonts w:cstheme="minorHAnsi"/>
          <w:b/>
          <w:sz w:val="24"/>
          <w:szCs w:val="24"/>
        </w:rPr>
        <w:t xml:space="preserve">GTA Execution Deadline </w:t>
      </w:r>
      <w:r w:rsidR="00F51C9A" w:rsidRPr="00B74333">
        <w:rPr>
          <w:rFonts w:cstheme="minorHAnsi"/>
          <w:sz w:val="24"/>
          <w:szCs w:val="24"/>
        </w:rPr>
        <w:t>shall</w:t>
      </w:r>
      <w:r w:rsidR="00F51C9A" w:rsidRPr="00B74333">
        <w:rPr>
          <w:rFonts w:cstheme="minorHAnsi"/>
          <w:b/>
          <w:sz w:val="24"/>
          <w:szCs w:val="24"/>
        </w:rPr>
        <w:t xml:space="preserve"> </w:t>
      </w:r>
      <w:r w:rsidRPr="00B74333">
        <w:rPr>
          <w:rFonts w:cstheme="minorHAnsi"/>
          <w:sz w:val="24"/>
          <w:szCs w:val="24"/>
        </w:rPr>
        <w:t>mean the date of 30.09.2024</w:t>
      </w:r>
      <w:r w:rsidRPr="00B74333">
        <w:rPr>
          <w:rFonts w:cstheme="minorHAnsi"/>
          <w:b/>
          <w:sz w:val="24"/>
          <w:szCs w:val="24"/>
        </w:rPr>
        <w:t>.</w:t>
      </w:r>
    </w:p>
    <w:p w14:paraId="0457D509" w14:textId="44113F05" w:rsidR="00C167F6" w:rsidRPr="00B74333" w:rsidRDefault="00C167F6" w:rsidP="00C167F6">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GTA</w:t>
      </w:r>
      <w:r w:rsidRPr="00B74333">
        <w:rPr>
          <w:rFonts w:eastAsia="Calibri" w:cstheme="minorHAnsi"/>
          <w:b/>
          <w:color w:val="000000"/>
          <w:sz w:val="24"/>
          <w:szCs w:val="24"/>
          <w:lang w:bidi="en-US"/>
        </w:rPr>
        <w:t xml:space="preserve"> </w:t>
      </w:r>
      <w:r w:rsidR="00865EAE" w:rsidRPr="00B74333">
        <w:rPr>
          <w:rFonts w:eastAsia="Calibri" w:cstheme="minorHAnsi"/>
          <w:b/>
          <w:bCs/>
          <w:color w:val="000000"/>
          <w:sz w:val="24"/>
          <w:szCs w:val="24"/>
          <w:lang w:bidi="en-US"/>
        </w:rPr>
        <w:t xml:space="preserve">Guarantee </w:t>
      </w:r>
      <w:r w:rsidR="00822DAE" w:rsidRPr="00B74333">
        <w:rPr>
          <w:rFonts w:eastAsia="Calibri" w:cstheme="minorHAnsi"/>
          <w:color w:val="000000"/>
          <w:sz w:val="24"/>
          <w:szCs w:val="24"/>
          <w:lang w:bidi="en-US"/>
        </w:rPr>
        <w:t>shall</w:t>
      </w:r>
      <w:r w:rsidR="00822DAE" w:rsidRPr="00B74333">
        <w:rPr>
          <w:rFonts w:eastAsia="Calibri" w:cstheme="minorHAnsi"/>
          <w:b/>
          <w:bCs/>
          <w:color w:val="000000"/>
          <w:sz w:val="24"/>
          <w:szCs w:val="24"/>
          <w:lang w:bidi="en-US"/>
        </w:rPr>
        <w:t xml:space="preserve"> </w:t>
      </w:r>
      <w:r w:rsidR="00865EAE" w:rsidRPr="00B74333">
        <w:rPr>
          <w:rFonts w:eastAsia="Calibri" w:cstheme="minorHAnsi"/>
          <w:color w:val="000000"/>
          <w:sz w:val="24"/>
          <w:szCs w:val="24"/>
          <w:lang w:bidi="en-US"/>
        </w:rPr>
        <w:t>mean</w:t>
      </w:r>
      <w:r w:rsidRPr="00B74333">
        <w:rPr>
          <w:rFonts w:eastAsia="Calibri" w:cstheme="minorHAnsi"/>
          <w:color w:val="000000"/>
          <w:sz w:val="24"/>
          <w:szCs w:val="24"/>
          <w:lang w:bidi="en-US"/>
        </w:rPr>
        <w:t xml:space="preserve"> the </w:t>
      </w:r>
      <w:r w:rsidR="009F1874" w:rsidRPr="00B74333">
        <w:rPr>
          <w:rFonts w:eastAsia="Calibri" w:cstheme="minorHAnsi"/>
          <w:color w:val="000000"/>
          <w:sz w:val="24"/>
          <w:szCs w:val="24"/>
          <w:lang w:bidi="en-US"/>
        </w:rPr>
        <w:t>Letter of Guarantee presented to DESFA by the Company and attached herein</w:t>
      </w:r>
      <w:r w:rsidRPr="00B74333">
        <w:rPr>
          <w:rFonts w:eastAsia="Calibri" w:cstheme="minorHAnsi"/>
          <w:color w:val="000000"/>
          <w:sz w:val="24"/>
          <w:szCs w:val="24"/>
          <w:lang w:bidi="en-US"/>
        </w:rPr>
        <w:t xml:space="preserve"> in Appendix II.</w:t>
      </w:r>
    </w:p>
    <w:p w14:paraId="3FDEAB49" w14:textId="05249D58" w:rsidR="000B4032" w:rsidRPr="00B74333" w:rsidRDefault="00C375F9" w:rsidP="00192F18">
      <w:pPr>
        <w:widowControl w:val="0"/>
        <w:spacing w:after="120" w:line="276" w:lineRule="auto"/>
        <w:jc w:val="both"/>
        <w:rPr>
          <w:rFonts w:eastAsia="Calibri" w:cstheme="minorHAnsi"/>
          <w:color w:val="000000"/>
          <w:sz w:val="24"/>
          <w:szCs w:val="24"/>
          <w:lang w:bidi="en-US"/>
        </w:rPr>
      </w:pPr>
      <w:r w:rsidRPr="00B74333">
        <w:rPr>
          <w:rFonts w:eastAsia="Calibri" w:cstheme="minorHAnsi"/>
          <w:b/>
          <w:color w:val="000000"/>
          <w:sz w:val="24"/>
          <w:szCs w:val="24"/>
          <w:lang w:bidi="en-US"/>
        </w:rPr>
        <w:t>Guidelines</w:t>
      </w:r>
      <w:r w:rsidRPr="00B74333">
        <w:rPr>
          <w:rFonts w:eastAsia="Calibri" w:cstheme="minorHAnsi"/>
          <w:color w:val="000000"/>
          <w:sz w:val="24"/>
          <w:szCs w:val="24"/>
          <w:lang w:bidi="en-US"/>
        </w:rPr>
        <w:t xml:space="preserve"> </w:t>
      </w:r>
      <w:r w:rsidR="00822DAE" w:rsidRPr="00B74333">
        <w:rPr>
          <w:rFonts w:eastAsia="Calibri" w:cstheme="minorHAnsi"/>
          <w:color w:val="000000"/>
          <w:sz w:val="24"/>
          <w:szCs w:val="24"/>
          <w:lang w:bidi="en-US"/>
        </w:rPr>
        <w:t xml:space="preserve">shall </w:t>
      </w:r>
      <w:r w:rsidRPr="00B74333">
        <w:rPr>
          <w:rFonts w:eastAsia="Calibri" w:cstheme="minorHAnsi"/>
          <w:color w:val="000000"/>
          <w:sz w:val="24"/>
          <w:szCs w:val="24"/>
          <w:lang w:bidi="en-US"/>
        </w:rPr>
        <w:t>mean the incremental capacity project proposal</w:t>
      </w:r>
      <w:r w:rsidR="001847D7" w:rsidRPr="00B74333">
        <w:rPr>
          <w:rFonts w:eastAsia="Calibri" w:cstheme="minorHAnsi"/>
          <w:color w:val="000000"/>
          <w:sz w:val="24"/>
          <w:szCs w:val="24"/>
          <w:lang w:bidi="en-US"/>
        </w:rPr>
        <w:t xml:space="preserve"> for the expansion of the NNGS,</w:t>
      </w:r>
      <w:r w:rsidRPr="00B74333">
        <w:rPr>
          <w:rFonts w:eastAsia="Calibri" w:cstheme="minorHAnsi"/>
          <w:color w:val="000000"/>
          <w:sz w:val="24"/>
          <w:szCs w:val="24"/>
          <w:lang w:bidi="en-US"/>
        </w:rPr>
        <w:t xml:space="preserve"> set in public consultation and approved by RAEWW</w:t>
      </w:r>
      <w:r w:rsidR="002A0720" w:rsidRPr="00B74333">
        <w:rPr>
          <w:rFonts w:eastAsia="Calibri" w:cstheme="minorHAnsi"/>
          <w:color w:val="000000"/>
          <w:sz w:val="24"/>
          <w:szCs w:val="24"/>
          <w:lang w:bidi="en-US"/>
        </w:rPr>
        <w:t xml:space="preserve"> </w:t>
      </w:r>
      <w:bookmarkStart w:id="96" w:name="_Hlk163138516"/>
      <w:r w:rsidR="002A0720" w:rsidRPr="00B74333">
        <w:rPr>
          <w:rFonts w:eastAsia="Calibri" w:cstheme="minorHAnsi"/>
          <w:color w:val="000000"/>
          <w:sz w:val="24"/>
          <w:szCs w:val="24"/>
          <w:lang w:bidi="en-US"/>
        </w:rPr>
        <w:t>by its Decision No</w:t>
      </w:r>
      <w:r w:rsidR="00DE5EBE" w:rsidRPr="00B74333">
        <w:rPr>
          <w:rFonts w:eastAsia="Calibri" w:cstheme="minorHAnsi"/>
          <w:color w:val="000000"/>
          <w:sz w:val="24"/>
          <w:szCs w:val="24"/>
          <w:lang w:bidi="en-US"/>
        </w:rPr>
        <w:t xml:space="preserve">. </w:t>
      </w:r>
      <w:bookmarkEnd w:id="96"/>
      <w:r w:rsidR="00DE5EBE" w:rsidRPr="00B74333">
        <w:rPr>
          <w:rFonts w:eastAsia="Calibri" w:cstheme="minorHAnsi"/>
          <w:color w:val="000000"/>
          <w:sz w:val="24"/>
          <w:szCs w:val="24"/>
          <w:lang w:val="el-GR" w:bidi="en-US"/>
        </w:rPr>
        <w:t>Ε</w:t>
      </w:r>
      <w:r w:rsidR="00DE5EBE" w:rsidRPr="00B74333">
        <w:rPr>
          <w:rFonts w:eastAsia="Calibri" w:cstheme="minorHAnsi"/>
          <w:color w:val="000000"/>
          <w:sz w:val="24"/>
          <w:szCs w:val="24"/>
          <w:lang w:bidi="en-US"/>
        </w:rPr>
        <w:t>-93/2024</w:t>
      </w:r>
      <w:r w:rsidRPr="00B74333">
        <w:rPr>
          <w:rFonts w:eastAsia="Calibri" w:cstheme="minorHAnsi"/>
          <w:color w:val="000000"/>
          <w:sz w:val="24"/>
          <w:szCs w:val="24"/>
          <w:lang w:bidi="en-US"/>
        </w:rPr>
        <w:t>.</w:t>
      </w:r>
    </w:p>
    <w:p w14:paraId="15F534DB" w14:textId="61B387E7" w:rsidR="00075402" w:rsidRPr="00B74333" w:rsidRDefault="00075402" w:rsidP="009F1874">
      <w:pPr>
        <w:suppressAutoHyphens/>
        <w:spacing w:after="120" w:line="252" w:lineRule="auto"/>
        <w:jc w:val="both"/>
        <w:rPr>
          <w:rFonts w:eastAsia="Calibri" w:cstheme="minorHAnsi"/>
          <w:color w:val="000000"/>
          <w:sz w:val="28"/>
          <w:szCs w:val="28"/>
          <w:lang w:bidi="en-US"/>
        </w:rPr>
      </w:pPr>
      <w:r w:rsidRPr="00B74333">
        <w:rPr>
          <w:rFonts w:cstheme="minorHAnsi"/>
          <w:b/>
          <w:sz w:val="24"/>
          <w:szCs w:val="24"/>
        </w:rPr>
        <w:t xml:space="preserve">ICGB System (or IGB) </w:t>
      </w:r>
      <w:r w:rsidR="00822DAE" w:rsidRPr="00B74333">
        <w:rPr>
          <w:rFonts w:cstheme="minorHAnsi"/>
          <w:sz w:val="24"/>
          <w:szCs w:val="24"/>
        </w:rPr>
        <w:t>shall</w:t>
      </w:r>
      <w:r w:rsidR="00822DAE" w:rsidRPr="00B74333">
        <w:rPr>
          <w:rFonts w:cstheme="minorHAnsi"/>
          <w:b/>
          <w:sz w:val="24"/>
          <w:szCs w:val="24"/>
        </w:rPr>
        <w:t xml:space="preserve"> </w:t>
      </w:r>
      <w:r w:rsidRPr="00B74333">
        <w:rPr>
          <w:rFonts w:cstheme="minorHAnsi"/>
          <w:sz w:val="24"/>
          <w:szCs w:val="24"/>
        </w:rPr>
        <w:t>mean the Interconnector Greece-Bulgaria operated by ICGB AD.</w:t>
      </w:r>
    </w:p>
    <w:p w14:paraId="5214F994" w14:textId="4A2BB3C9" w:rsidR="00192F18" w:rsidRPr="00B74333" w:rsidRDefault="00192F18" w:rsidP="00192F18">
      <w:pPr>
        <w:widowControl w:val="0"/>
        <w:spacing w:after="120" w:line="276" w:lineRule="auto"/>
        <w:jc w:val="both"/>
        <w:rPr>
          <w:rFonts w:eastAsia="Calibri" w:cstheme="minorHAnsi"/>
          <w:color w:val="000000"/>
          <w:sz w:val="24"/>
          <w:szCs w:val="24"/>
          <w:lang w:bidi="en-US"/>
        </w:rPr>
      </w:pPr>
      <w:r w:rsidRPr="00B74333" w:rsidDel="006A25E2">
        <w:rPr>
          <w:rFonts w:eastAsia="Calibri" w:cstheme="minorHAnsi"/>
          <w:b/>
          <w:bCs/>
          <w:color w:val="000000"/>
          <w:sz w:val="24"/>
          <w:szCs w:val="24"/>
          <w:lang w:bidi="en-US"/>
        </w:rPr>
        <w:t xml:space="preserve">Incremental Capacity </w:t>
      </w:r>
      <w:r w:rsidRPr="00B74333">
        <w:rPr>
          <w:rFonts w:eastAsia="Calibri" w:cstheme="minorHAnsi"/>
          <w:b/>
          <w:bCs/>
          <w:color w:val="000000"/>
          <w:sz w:val="24"/>
          <w:szCs w:val="24"/>
          <w:lang w:bidi="en-US"/>
        </w:rPr>
        <w:t xml:space="preserve">Project </w:t>
      </w:r>
      <w:r w:rsidRPr="00B74333" w:rsidDel="006A25E2">
        <w:rPr>
          <w:rFonts w:eastAsia="Calibri" w:cstheme="minorHAnsi"/>
          <w:color w:val="000000"/>
          <w:sz w:val="24"/>
          <w:szCs w:val="24"/>
          <w:lang w:bidi="en-US"/>
        </w:rPr>
        <w:t xml:space="preserve">shall </w:t>
      </w:r>
      <w:r w:rsidR="00EA176A" w:rsidRPr="00B74333">
        <w:rPr>
          <w:rFonts w:eastAsia="Calibri" w:cstheme="minorHAnsi"/>
          <w:color w:val="000000"/>
          <w:sz w:val="24"/>
          <w:szCs w:val="24"/>
          <w:lang w:bidi="en-US"/>
        </w:rPr>
        <w:t xml:space="preserve">mean the </w:t>
      </w:r>
      <w:r w:rsidR="00502B1A" w:rsidRPr="00B74333">
        <w:rPr>
          <w:rFonts w:eastAsia="Calibri" w:cstheme="minorHAnsi"/>
          <w:color w:val="000000"/>
          <w:sz w:val="24"/>
          <w:szCs w:val="24"/>
          <w:lang w:bidi="en-US"/>
        </w:rPr>
        <w:t>DESFA</w:t>
      </w:r>
      <w:r w:rsidR="00EA176A" w:rsidRPr="00B74333">
        <w:rPr>
          <w:rFonts w:eastAsia="Calibri" w:cstheme="minorHAnsi"/>
          <w:color w:val="000000"/>
          <w:sz w:val="24"/>
          <w:szCs w:val="24"/>
          <w:lang w:bidi="en-US"/>
        </w:rPr>
        <w:t xml:space="preserve"> Part of the Project </w:t>
      </w:r>
      <w:r w:rsidR="008B2B86" w:rsidRPr="00B74333">
        <w:rPr>
          <w:rFonts w:eastAsia="Calibri" w:cstheme="minorHAnsi"/>
          <w:color w:val="000000"/>
          <w:sz w:val="24"/>
          <w:szCs w:val="24"/>
          <w:lang w:bidi="en-US"/>
        </w:rPr>
        <w:t>[choose among (i) to (iii) as appropriate and delete the remaining cases:</w:t>
      </w:r>
      <w:r w:rsidR="00391F78" w:rsidRPr="00B74333">
        <w:rPr>
          <w:rFonts w:eastAsia="Calibri" w:cstheme="minorHAnsi"/>
          <w:color w:val="000000"/>
          <w:sz w:val="24"/>
          <w:szCs w:val="24"/>
          <w:lang w:bidi="en-US"/>
        </w:rPr>
        <w:t xml:space="preserve"> </w:t>
      </w:r>
      <w:r w:rsidR="008B2B86" w:rsidRPr="00B74333">
        <w:rPr>
          <w:rFonts w:eastAsia="Calibri" w:cstheme="minorHAnsi"/>
          <w:color w:val="000000"/>
          <w:sz w:val="24"/>
          <w:szCs w:val="24"/>
          <w:lang w:bidi="en-US"/>
        </w:rPr>
        <w:t>(i)</w:t>
      </w:r>
      <w:r w:rsidR="00391F78" w:rsidRPr="00B74333">
        <w:rPr>
          <w:rFonts w:eastAsia="Calibri" w:cstheme="minorHAnsi"/>
          <w:color w:val="000000"/>
          <w:sz w:val="24"/>
          <w:szCs w:val="24"/>
          <w:lang w:bidi="en-US"/>
        </w:rPr>
        <w:t xml:space="preserve"> </w:t>
      </w:r>
      <w:r w:rsidR="002A123E" w:rsidRPr="00B74333">
        <w:rPr>
          <w:rFonts w:eastAsia="Calibri" w:cstheme="minorHAnsi"/>
          <w:color w:val="000000"/>
          <w:sz w:val="24"/>
          <w:szCs w:val="24"/>
          <w:lang w:bidi="en-US"/>
        </w:rPr>
        <w:t xml:space="preserve">and </w:t>
      </w:r>
      <w:r w:rsidR="00EA176A" w:rsidRPr="00B74333">
        <w:rPr>
          <w:rFonts w:eastAsia="Calibri" w:cstheme="minorHAnsi"/>
          <w:color w:val="000000"/>
          <w:sz w:val="24"/>
          <w:szCs w:val="24"/>
          <w:lang w:bidi="en-US"/>
        </w:rPr>
        <w:t>BULGARTRANSGAZ Part of the Project</w:t>
      </w:r>
      <w:r w:rsidR="008B2B86" w:rsidRPr="00B74333">
        <w:rPr>
          <w:rFonts w:eastAsia="Calibri" w:cstheme="minorHAnsi"/>
          <w:color w:val="000000"/>
          <w:sz w:val="24"/>
          <w:szCs w:val="24"/>
          <w:lang w:bidi="en-US"/>
        </w:rPr>
        <w:t>”), (ii) and ICGB Part of the Project</w:t>
      </w:r>
      <w:r w:rsidR="00EB1757" w:rsidRPr="00B74333">
        <w:rPr>
          <w:rFonts w:eastAsia="Calibri" w:cstheme="minorHAnsi"/>
          <w:color w:val="000000"/>
          <w:sz w:val="24"/>
          <w:szCs w:val="24"/>
          <w:lang w:bidi="en-US"/>
        </w:rPr>
        <w:t xml:space="preserve"> or </w:t>
      </w:r>
      <w:r w:rsidR="008B2B86" w:rsidRPr="00B74333">
        <w:rPr>
          <w:rFonts w:eastAsia="Calibri" w:cstheme="minorHAnsi"/>
          <w:color w:val="000000"/>
          <w:sz w:val="24"/>
          <w:szCs w:val="24"/>
          <w:lang w:bidi="en-US"/>
        </w:rPr>
        <w:t>(iii)</w:t>
      </w:r>
      <w:r w:rsidR="00EB1757" w:rsidRPr="00B74333">
        <w:rPr>
          <w:rFonts w:eastAsia="Calibri" w:cstheme="minorHAnsi"/>
          <w:color w:val="000000"/>
          <w:sz w:val="24"/>
          <w:szCs w:val="24"/>
          <w:lang w:bidi="en-US"/>
        </w:rPr>
        <w:t>,</w:t>
      </w:r>
      <w:r w:rsidR="002D3B0A" w:rsidRPr="00B74333">
        <w:rPr>
          <w:rFonts w:eastAsia="Calibri" w:cstheme="minorHAnsi"/>
          <w:color w:val="000000"/>
          <w:sz w:val="24"/>
          <w:szCs w:val="24"/>
          <w:lang w:bidi="en-US"/>
        </w:rPr>
        <w:t xml:space="preserve"> </w:t>
      </w:r>
      <w:r w:rsidR="008B2B86" w:rsidRPr="00B74333">
        <w:rPr>
          <w:rFonts w:eastAsia="Calibri" w:cstheme="minorHAnsi"/>
          <w:color w:val="000000"/>
          <w:sz w:val="24"/>
          <w:szCs w:val="24"/>
          <w:lang w:bidi="en-US"/>
        </w:rPr>
        <w:t>BULGARTRANSGAZ Part of the Project</w:t>
      </w:r>
      <w:r w:rsidR="00EB1757" w:rsidRPr="00B74333">
        <w:rPr>
          <w:rFonts w:eastAsia="Calibri" w:cstheme="minorHAnsi"/>
          <w:color w:val="000000"/>
          <w:sz w:val="24"/>
          <w:szCs w:val="24"/>
          <w:lang w:bidi="en-US"/>
        </w:rPr>
        <w:t xml:space="preserve"> and </w:t>
      </w:r>
      <w:r w:rsidR="008B2B86" w:rsidRPr="00B74333">
        <w:rPr>
          <w:rFonts w:eastAsia="Calibri" w:cstheme="minorHAnsi"/>
          <w:color w:val="000000"/>
          <w:sz w:val="24"/>
          <w:szCs w:val="24"/>
          <w:lang w:bidi="en-US"/>
        </w:rPr>
        <w:t>ICGB Part of the Project</w:t>
      </w:r>
      <w:r w:rsidR="007D10A0" w:rsidRPr="00B74333">
        <w:rPr>
          <w:rFonts w:eastAsia="Calibri" w:cstheme="minorHAnsi"/>
          <w:color w:val="000000"/>
          <w:sz w:val="24"/>
          <w:szCs w:val="24"/>
          <w:lang w:bidi="en-US"/>
        </w:rPr>
        <w:t>]</w:t>
      </w:r>
      <w:r w:rsidR="007D10A0" w:rsidRPr="00B74333">
        <w:rPr>
          <w:rStyle w:val="FootnoteReference"/>
          <w:rFonts w:eastAsia="Calibri" w:cstheme="minorHAnsi"/>
          <w:color w:val="000000"/>
          <w:sz w:val="24"/>
          <w:szCs w:val="24"/>
          <w:lang w:bidi="en-US"/>
        </w:rPr>
        <w:footnoteReference w:id="23"/>
      </w:r>
      <w:r w:rsidR="00B15B01" w:rsidRPr="00B74333">
        <w:rPr>
          <w:rFonts w:eastAsia="Calibri" w:cstheme="minorHAnsi"/>
          <w:color w:val="000000"/>
          <w:sz w:val="24"/>
          <w:szCs w:val="24"/>
          <w:lang w:bidi="en-US"/>
        </w:rPr>
        <w:t>.</w:t>
      </w:r>
    </w:p>
    <w:p w14:paraId="58D1BF5A" w14:textId="071823C9" w:rsidR="00223466" w:rsidRPr="00B74333" w:rsidRDefault="00FD25A8" w:rsidP="00FD25A8">
      <w:pPr>
        <w:suppressAutoHyphens/>
        <w:spacing w:after="120" w:line="252" w:lineRule="auto"/>
        <w:jc w:val="both"/>
        <w:rPr>
          <w:rFonts w:cstheme="minorHAnsi"/>
          <w:sz w:val="24"/>
          <w:szCs w:val="24"/>
        </w:rPr>
      </w:pPr>
      <w:r w:rsidRPr="00B74333">
        <w:rPr>
          <w:rFonts w:cstheme="minorHAnsi"/>
          <w:b/>
          <w:sz w:val="24"/>
          <w:szCs w:val="24"/>
        </w:rPr>
        <w:t>Interconnection Point</w:t>
      </w:r>
      <w:r w:rsidR="00770CEB" w:rsidRPr="00B74333">
        <w:rPr>
          <w:rFonts w:cstheme="minorHAnsi"/>
          <w:b/>
          <w:sz w:val="24"/>
          <w:szCs w:val="24"/>
        </w:rPr>
        <w:t>s</w:t>
      </w:r>
      <w:r w:rsidRPr="00B74333">
        <w:rPr>
          <w:rFonts w:cstheme="minorHAnsi"/>
          <w:b/>
          <w:sz w:val="24"/>
          <w:szCs w:val="24"/>
        </w:rPr>
        <w:t xml:space="preserve"> (or IP</w:t>
      </w:r>
      <w:r w:rsidR="00770CEB" w:rsidRPr="00B74333">
        <w:rPr>
          <w:rFonts w:cstheme="minorHAnsi"/>
          <w:b/>
          <w:sz w:val="24"/>
          <w:szCs w:val="24"/>
        </w:rPr>
        <w:t>s</w:t>
      </w:r>
      <w:r w:rsidRPr="00B74333">
        <w:rPr>
          <w:rFonts w:cstheme="minorHAnsi"/>
          <w:b/>
          <w:sz w:val="24"/>
          <w:szCs w:val="24"/>
        </w:rPr>
        <w:t xml:space="preserve">) </w:t>
      </w:r>
      <w:r w:rsidR="00A501A2" w:rsidRPr="00B74333">
        <w:rPr>
          <w:rFonts w:cstheme="minorHAnsi"/>
          <w:sz w:val="24"/>
          <w:szCs w:val="24"/>
        </w:rPr>
        <w:t>shall</w:t>
      </w:r>
      <w:r w:rsidR="00A501A2" w:rsidRPr="00B74333">
        <w:rPr>
          <w:rFonts w:cstheme="minorHAnsi"/>
          <w:b/>
          <w:sz w:val="24"/>
          <w:szCs w:val="24"/>
        </w:rPr>
        <w:t xml:space="preserve"> </w:t>
      </w:r>
      <w:r w:rsidRPr="00B74333">
        <w:rPr>
          <w:rFonts w:cstheme="minorHAnsi"/>
          <w:sz w:val="24"/>
          <w:szCs w:val="24"/>
        </w:rPr>
        <w:t xml:space="preserve">mean the interconnection points Komotini IP, </w:t>
      </w:r>
      <w:proofErr w:type="spellStart"/>
      <w:r w:rsidRPr="00B74333">
        <w:rPr>
          <w:rFonts w:cstheme="minorHAnsi"/>
          <w:sz w:val="24"/>
          <w:szCs w:val="24"/>
        </w:rPr>
        <w:t>Kulata</w:t>
      </w:r>
      <w:proofErr w:type="spellEnd"/>
      <w:r w:rsidRPr="00B74333">
        <w:rPr>
          <w:rFonts w:cstheme="minorHAnsi"/>
          <w:sz w:val="24"/>
          <w:szCs w:val="24"/>
        </w:rPr>
        <w:t>/</w:t>
      </w:r>
      <w:proofErr w:type="spellStart"/>
      <w:r w:rsidRPr="00B74333">
        <w:rPr>
          <w:rFonts w:cstheme="minorHAnsi"/>
          <w:sz w:val="24"/>
          <w:szCs w:val="24"/>
        </w:rPr>
        <w:t>Sidirokastro</w:t>
      </w:r>
      <w:proofErr w:type="spellEnd"/>
      <w:r w:rsidRPr="00B74333">
        <w:rPr>
          <w:rFonts w:cstheme="minorHAnsi"/>
          <w:sz w:val="24"/>
          <w:szCs w:val="24"/>
        </w:rPr>
        <w:t xml:space="preserve"> IP, Kipoi IP or Nea Messimvria IP.</w:t>
      </w:r>
    </w:p>
    <w:p w14:paraId="537AE0AB" w14:textId="19DD088C" w:rsidR="008E3DB4" w:rsidRPr="00B74333" w:rsidRDefault="008E3DB4" w:rsidP="009F1874">
      <w:pPr>
        <w:suppressAutoHyphens/>
        <w:spacing w:after="120" w:line="252" w:lineRule="auto"/>
        <w:jc w:val="both"/>
        <w:rPr>
          <w:rFonts w:cstheme="minorHAnsi"/>
          <w:sz w:val="24"/>
          <w:szCs w:val="24"/>
        </w:rPr>
      </w:pPr>
      <w:r w:rsidRPr="00B74333">
        <w:rPr>
          <w:rFonts w:cstheme="minorHAnsi"/>
          <w:b/>
          <w:sz w:val="24"/>
          <w:szCs w:val="24"/>
        </w:rPr>
        <w:t xml:space="preserve">Kipoi IP </w:t>
      </w:r>
      <w:r w:rsidR="003455C7" w:rsidRPr="00B74333">
        <w:rPr>
          <w:rFonts w:cstheme="minorHAnsi"/>
          <w:sz w:val="24"/>
          <w:szCs w:val="24"/>
        </w:rPr>
        <w:t>shall</w:t>
      </w:r>
      <w:r w:rsidR="003455C7" w:rsidRPr="00B74333">
        <w:rPr>
          <w:rFonts w:cstheme="minorHAnsi"/>
          <w:b/>
          <w:sz w:val="24"/>
          <w:szCs w:val="24"/>
        </w:rPr>
        <w:t xml:space="preserve"> </w:t>
      </w:r>
      <w:r w:rsidRPr="00B74333">
        <w:rPr>
          <w:rFonts w:cstheme="minorHAnsi"/>
          <w:sz w:val="24"/>
          <w:szCs w:val="24"/>
        </w:rPr>
        <w:t>mean the interconnection point connecting DESFA System and the natural gas transmission system of Turkey.</w:t>
      </w:r>
    </w:p>
    <w:p w14:paraId="2C09E50D" w14:textId="7900DB4C" w:rsidR="008E3DB4" w:rsidRPr="00B74333" w:rsidRDefault="008E3DB4" w:rsidP="009F1874">
      <w:pPr>
        <w:pStyle w:val="CommentText"/>
        <w:suppressAutoHyphens/>
        <w:spacing w:after="120" w:line="252" w:lineRule="auto"/>
        <w:jc w:val="both"/>
        <w:rPr>
          <w:rFonts w:cstheme="minorHAnsi"/>
          <w:b/>
          <w:i/>
          <w:sz w:val="24"/>
          <w:szCs w:val="24"/>
          <w:lang w:val="en-US"/>
        </w:rPr>
      </w:pPr>
      <w:r w:rsidRPr="00B74333">
        <w:rPr>
          <w:rFonts w:cstheme="minorHAnsi"/>
          <w:b/>
          <w:sz w:val="24"/>
          <w:szCs w:val="24"/>
          <w:lang w:val="en-US"/>
        </w:rPr>
        <w:t xml:space="preserve">Komotini IP </w:t>
      </w:r>
      <w:r w:rsidR="003455C7" w:rsidRPr="00B74333">
        <w:rPr>
          <w:rFonts w:cstheme="minorHAnsi"/>
          <w:sz w:val="24"/>
          <w:szCs w:val="24"/>
          <w:lang w:val="en-US"/>
        </w:rPr>
        <w:t>shall</w:t>
      </w:r>
      <w:r w:rsidR="003455C7" w:rsidRPr="00B74333">
        <w:rPr>
          <w:rFonts w:cstheme="minorHAnsi"/>
          <w:b/>
          <w:sz w:val="24"/>
          <w:szCs w:val="24"/>
          <w:lang w:val="en-US"/>
        </w:rPr>
        <w:t xml:space="preserve"> </w:t>
      </w:r>
      <w:r w:rsidRPr="00B74333">
        <w:rPr>
          <w:rFonts w:cstheme="minorHAnsi"/>
          <w:sz w:val="24"/>
          <w:szCs w:val="24"/>
          <w:lang w:val="en-US"/>
        </w:rPr>
        <w:t>mean the interconnection point connecting DESFA System and ICGB System.</w:t>
      </w:r>
    </w:p>
    <w:p w14:paraId="3434166C" w14:textId="5D5C5B04" w:rsidR="008E3DB4" w:rsidRPr="00B74333" w:rsidRDefault="008E3DB4" w:rsidP="009F1874">
      <w:pPr>
        <w:suppressAutoHyphens/>
        <w:spacing w:after="120" w:line="252" w:lineRule="auto"/>
        <w:jc w:val="both"/>
        <w:rPr>
          <w:rFonts w:cstheme="minorHAnsi"/>
          <w:b/>
          <w:i/>
          <w:sz w:val="24"/>
          <w:szCs w:val="24"/>
        </w:rPr>
      </w:pPr>
      <w:r w:rsidRPr="00B74333">
        <w:rPr>
          <w:rFonts w:cstheme="minorHAnsi"/>
          <w:b/>
          <w:sz w:val="24"/>
          <w:szCs w:val="24"/>
        </w:rPr>
        <w:t>Kulata/Sidirokastro IP</w:t>
      </w:r>
      <w:r w:rsidRPr="00B74333">
        <w:rPr>
          <w:rFonts w:cstheme="minorHAnsi"/>
          <w:sz w:val="24"/>
          <w:szCs w:val="24"/>
        </w:rPr>
        <w:t xml:space="preserve"> </w:t>
      </w:r>
      <w:r w:rsidR="003455C7" w:rsidRPr="00B74333">
        <w:rPr>
          <w:rFonts w:cstheme="minorHAnsi"/>
          <w:sz w:val="24"/>
          <w:szCs w:val="24"/>
        </w:rPr>
        <w:t xml:space="preserve">shall </w:t>
      </w:r>
      <w:r w:rsidRPr="00B74333">
        <w:rPr>
          <w:rFonts w:cstheme="minorHAnsi"/>
          <w:sz w:val="24"/>
          <w:szCs w:val="24"/>
        </w:rPr>
        <w:t>mean the interconnection point connecting DESFA System and BULGARTRANSGAZ System.</w:t>
      </w:r>
    </w:p>
    <w:p w14:paraId="09B77CD5" w14:textId="488D47DD"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Law </w:t>
      </w:r>
      <w:r w:rsidR="003455C7" w:rsidRPr="00B74333">
        <w:rPr>
          <w:rFonts w:eastAsia="Calibri" w:cstheme="minorHAnsi"/>
          <w:color w:val="000000"/>
          <w:sz w:val="24"/>
          <w:szCs w:val="24"/>
          <w:lang w:bidi="en-US"/>
        </w:rPr>
        <w:t>shall</w:t>
      </w:r>
      <w:r w:rsidR="003455C7" w:rsidRPr="00B74333">
        <w:rPr>
          <w:rFonts w:eastAsia="Calibri" w:cstheme="minorHAnsi"/>
          <w:b/>
          <w:bCs/>
          <w:color w:val="000000"/>
          <w:sz w:val="24"/>
          <w:szCs w:val="24"/>
          <w:lang w:bidi="en-US"/>
        </w:rPr>
        <w:t xml:space="preserve"> </w:t>
      </w:r>
      <w:r w:rsidRPr="00B74333">
        <w:rPr>
          <w:rFonts w:eastAsia="Calibri" w:cstheme="minorHAnsi"/>
          <w:color w:val="000000"/>
          <w:sz w:val="24"/>
          <w:szCs w:val="24"/>
          <w:lang w:bidi="en-US"/>
        </w:rPr>
        <w:t xml:space="preserve">mean all federal, </w:t>
      </w:r>
      <w:proofErr w:type="gramStart"/>
      <w:r w:rsidRPr="00B74333">
        <w:rPr>
          <w:rFonts w:eastAsia="Calibri" w:cstheme="minorHAnsi"/>
          <w:color w:val="000000"/>
          <w:sz w:val="24"/>
          <w:szCs w:val="24"/>
          <w:lang w:bidi="en-US"/>
        </w:rPr>
        <w:t>national</w:t>
      </w:r>
      <w:proofErr w:type="gramEnd"/>
      <w:r w:rsidRPr="00B74333">
        <w:rPr>
          <w:rFonts w:eastAsia="Calibri" w:cstheme="minorHAnsi"/>
          <w:color w:val="000000"/>
          <w:sz w:val="24"/>
          <w:szCs w:val="24"/>
          <w:lang w:bidi="en-US"/>
        </w:rPr>
        <w:t xml:space="preserve"> or state legislation, statutes, ordinances and other laws, and regulations, by-laws, decisions and administrative acts of legally constituted Competent Authority or standards lawfully imposed by any such Competent Authority.</w:t>
      </w:r>
    </w:p>
    <w:p w14:paraId="653120B5" w14:textId="0FFE9311" w:rsidR="008E3DB4" w:rsidRPr="00B74333" w:rsidRDefault="008E3DB4" w:rsidP="00582C56">
      <w:pPr>
        <w:pStyle w:val="CommentText"/>
        <w:widowControl w:val="0"/>
        <w:suppressAutoHyphens/>
        <w:spacing w:after="120" w:line="252" w:lineRule="auto"/>
        <w:jc w:val="both"/>
        <w:rPr>
          <w:rFonts w:cstheme="minorHAnsi"/>
          <w:sz w:val="24"/>
          <w:szCs w:val="24"/>
          <w:lang w:val="en-US"/>
        </w:rPr>
      </w:pPr>
      <w:r w:rsidRPr="00B74333">
        <w:rPr>
          <w:rFonts w:cstheme="minorHAnsi"/>
          <w:b/>
          <w:sz w:val="24"/>
          <w:szCs w:val="24"/>
          <w:lang w:val="en-US"/>
        </w:rPr>
        <w:t xml:space="preserve">Linked Bid </w:t>
      </w:r>
      <w:r w:rsidR="003455C7" w:rsidRPr="00B74333">
        <w:rPr>
          <w:rFonts w:cstheme="minorHAnsi"/>
          <w:sz w:val="24"/>
          <w:szCs w:val="24"/>
          <w:lang w:val="en-US"/>
        </w:rPr>
        <w:t>shall</w:t>
      </w:r>
      <w:r w:rsidR="003455C7" w:rsidRPr="00B74333">
        <w:rPr>
          <w:rFonts w:cstheme="minorHAnsi"/>
          <w:b/>
          <w:sz w:val="24"/>
          <w:szCs w:val="24"/>
          <w:lang w:val="en-US"/>
        </w:rPr>
        <w:t xml:space="preserve"> </w:t>
      </w:r>
      <w:r w:rsidRPr="00B74333">
        <w:rPr>
          <w:rFonts w:cstheme="minorHAnsi"/>
          <w:sz w:val="24"/>
          <w:szCs w:val="24"/>
          <w:lang w:val="en-US"/>
        </w:rPr>
        <w:t xml:space="preserve">mean a bid where the Participant has indicated that its binding request at </w:t>
      </w:r>
      <w:r w:rsidR="00582C56" w:rsidRPr="00B74333">
        <w:rPr>
          <w:rFonts w:cstheme="minorHAnsi"/>
          <w:sz w:val="24"/>
          <w:szCs w:val="24"/>
          <w:lang w:val="en-US"/>
        </w:rPr>
        <w:t xml:space="preserve">one of </w:t>
      </w:r>
      <w:r w:rsidRPr="00B74333">
        <w:rPr>
          <w:rFonts w:cstheme="minorHAnsi"/>
          <w:sz w:val="24"/>
          <w:szCs w:val="24"/>
          <w:lang w:val="en-US"/>
        </w:rPr>
        <w:t>DESFA’s Entry Point</w:t>
      </w:r>
      <w:r w:rsidR="00582C56" w:rsidRPr="00B74333">
        <w:rPr>
          <w:rFonts w:cstheme="minorHAnsi"/>
          <w:sz w:val="24"/>
          <w:szCs w:val="24"/>
          <w:lang w:val="en-US"/>
        </w:rPr>
        <w:t>s</w:t>
      </w:r>
      <w:r w:rsidRPr="00B74333">
        <w:rPr>
          <w:rFonts w:cstheme="minorHAnsi"/>
          <w:sz w:val="24"/>
          <w:szCs w:val="24"/>
          <w:lang w:val="en-US"/>
        </w:rPr>
        <w:t xml:space="preserve"> or IP</w:t>
      </w:r>
      <w:r w:rsidR="00582C56" w:rsidRPr="00B74333">
        <w:rPr>
          <w:rFonts w:cstheme="minorHAnsi"/>
          <w:sz w:val="24"/>
          <w:szCs w:val="24"/>
          <w:lang w:val="en-US"/>
        </w:rPr>
        <w:t>s</w:t>
      </w:r>
      <w:r w:rsidRPr="00B74333">
        <w:rPr>
          <w:rFonts w:cstheme="minorHAnsi"/>
          <w:sz w:val="24"/>
          <w:szCs w:val="24"/>
          <w:lang w:val="en-US"/>
        </w:rPr>
        <w:t xml:space="preserve"> </w:t>
      </w:r>
      <w:r w:rsidR="00AA2F10" w:rsidRPr="00B74333">
        <w:rPr>
          <w:rFonts w:cstheme="minorHAnsi"/>
          <w:sz w:val="24"/>
          <w:szCs w:val="24"/>
          <w:lang w:val="en-US"/>
        </w:rPr>
        <w:t>(entry DESFA)</w:t>
      </w:r>
      <w:r w:rsidRPr="00B74333">
        <w:rPr>
          <w:rFonts w:cstheme="minorHAnsi"/>
          <w:sz w:val="24"/>
          <w:szCs w:val="24"/>
          <w:lang w:val="en-US"/>
        </w:rPr>
        <w:t xml:space="preserve"> is subject to allocation of an equal amount of capacity and duration at an IP</w:t>
      </w:r>
      <w:r w:rsidR="00AA2F10" w:rsidRPr="00B74333">
        <w:rPr>
          <w:rFonts w:cstheme="minorHAnsi"/>
          <w:sz w:val="24"/>
          <w:szCs w:val="24"/>
          <w:lang w:val="en-US"/>
        </w:rPr>
        <w:t xml:space="preserve"> (exit DESFA)</w:t>
      </w:r>
      <w:r w:rsidRPr="00B74333">
        <w:rPr>
          <w:rFonts w:cstheme="minorHAnsi"/>
          <w:sz w:val="24"/>
          <w:szCs w:val="24"/>
          <w:lang w:val="en-US"/>
        </w:rPr>
        <w:t xml:space="preserve">. </w:t>
      </w:r>
    </w:p>
    <w:p w14:paraId="5F3CB797" w14:textId="44CF02B3"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color w:val="000000"/>
          <w:sz w:val="24"/>
          <w:szCs w:val="24"/>
          <w:lang w:bidi="en-US"/>
        </w:rPr>
        <w:t xml:space="preserve">Long Stop Date </w:t>
      </w:r>
      <w:r w:rsidR="003455C7" w:rsidRPr="00B74333">
        <w:rPr>
          <w:rFonts w:eastAsia="Calibri" w:cstheme="minorHAnsi"/>
          <w:color w:val="000000"/>
          <w:sz w:val="24"/>
          <w:szCs w:val="24"/>
          <w:lang w:bidi="en-US"/>
        </w:rPr>
        <w:t>sha</w:t>
      </w:r>
      <w:r w:rsidR="00764A4F" w:rsidRPr="00B74333">
        <w:rPr>
          <w:rFonts w:eastAsia="Calibri" w:cstheme="minorHAnsi"/>
          <w:color w:val="000000"/>
          <w:sz w:val="24"/>
          <w:szCs w:val="24"/>
          <w:lang w:bidi="en-US"/>
        </w:rPr>
        <w:t>ll</w:t>
      </w:r>
      <w:r w:rsidR="00764A4F" w:rsidRPr="00B74333">
        <w:rPr>
          <w:rFonts w:eastAsia="Calibri" w:cstheme="minorHAnsi"/>
          <w:b/>
          <w:color w:val="000000"/>
          <w:sz w:val="24"/>
          <w:szCs w:val="24"/>
          <w:lang w:bidi="en-US"/>
        </w:rPr>
        <w:t xml:space="preserve"> </w:t>
      </w:r>
      <w:r w:rsidRPr="00B74333">
        <w:rPr>
          <w:rFonts w:eastAsia="Calibri" w:cstheme="minorHAnsi"/>
          <w:color w:val="000000"/>
          <w:sz w:val="24"/>
          <w:szCs w:val="24"/>
          <w:lang w:bidi="en-US"/>
        </w:rPr>
        <w:t xml:space="preserve">mean the date of </w:t>
      </w:r>
      <w:r w:rsidR="00237CDC" w:rsidRPr="00B74333">
        <w:rPr>
          <w:rFonts w:eastAsia="Calibri" w:cstheme="minorHAnsi"/>
          <w:color w:val="000000"/>
          <w:sz w:val="24"/>
          <w:szCs w:val="24"/>
          <w:lang w:bidi="en-US"/>
        </w:rPr>
        <w:t>31.05.</w:t>
      </w:r>
      <w:r w:rsidR="000031DA" w:rsidRPr="00B74333">
        <w:rPr>
          <w:rFonts w:eastAsia="Calibri" w:cstheme="minorHAnsi"/>
          <w:color w:val="000000"/>
          <w:sz w:val="24"/>
          <w:szCs w:val="24"/>
          <w:lang w:bidi="en-US"/>
        </w:rPr>
        <w:t>2025</w:t>
      </w:r>
      <w:r w:rsidR="00FD4F27"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pursuant to Article 3.3.</w:t>
      </w:r>
    </w:p>
    <w:p w14:paraId="7878D9C0" w14:textId="281B0E57" w:rsidR="00E84633" w:rsidRPr="00B74333" w:rsidRDefault="00D3305E" w:rsidP="00FE0FA0">
      <w:pPr>
        <w:suppressAutoHyphens/>
        <w:spacing w:after="120" w:line="252" w:lineRule="auto"/>
        <w:jc w:val="both"/>
        <w:rPr>
          <w:rFonts w:eastAsia="Calibri" w:cstheme="minorHAnsi"/>
          <w:color w:val="000000"/>
          <w:sz w:val="24"/>
          <w:szCs w:val="24"/>
          <w:lang w:bidi="en-US"/>
        </w:rPr>
      </w:pPr>
      <w:r w:rsidRPr="00B74333">
        <w:rPr>
          <w:rFonts w:cstheme="minorHAnsi"/>
          <w:b/>
          <w:sz w:val="24"/>
          <w:szCs w:val="24"/>
        </w:rPr>
        <w:t>Market Test Process</w:t>
      </w:r>
      <w:r w:rsidRPr="00B74333">
        <w:rPr>
          <w:rFonts w:cstheme="minorHAnsi"/>
          <w:sz w:val="24"/>
          <w:szCs w:val="24"/>
        </w:rPr>
        <w:t xml:space="preserve"> </w:t>
      </w:r>
      <w:r w:rsidR="00764A4F" w:rsidRPr="00B74333">
        <w:rPr>
          <w:rFonts w:cstheme="minorHAnsi"/>
          <w:sz w:val="24"/>
          <w:szCs w:val="24"/>
        </w:rPr>
        <w:t xml:space="preserve">shall </w:t>
      </w:r>
      <w:r w:rsidRPr="00B74333">
        <w:rPr>
          <w:rFonts w:cstheme="minorHAnsi"/>
          <w:sz w:val="24"/>
          <w:szCs w:val="24"/>
        </w:rPr>
        <w:t>mean the procedure launched for the allocation of incremental capacity according to the Guidelines and the Binding Phase Notice as well as the Project Proposals and the Joint Notices.</w:t>
      </w:r>
    </w:p>
    <w:p w14:paraId="11F57035" w14:textId="5E38FA6A" w:rsidR="00FE0FA0" w:rsidRPr="00B74333" w:rsidRDefault="00FE0FA0" w:rsidP="00FE0FA0">
      <w:pPr>
        <w:suppressAutoHyphens/>
        <w:spacing w:after="120" w:line="252" w:lineRule="auto"/>
        <w:jc w:val="both"/>
        <w:rPr>
          <w:rFonts w:cstheme="minorHAnsi"/>
          <w:sz w:val="24"/>
          <w:szCs w:val="24"/>
        </w:rPr>
      </w:pPr>
      <w:r w:rsidRPr="00B74333">
        <w:rPr>
          <w:rFonts w:cstheme="minorHAnsi"/>
          <w:b/>
          <w:sz w:val="24"/>
          <w:szCs w:val="24"/>
        </w:rPr>
        <w:lastRenderedPageBreak/>
        <w:t xml:space="preserve">Nea Messimvria IP </w:t>
      </w:r>
      <w:r w:rsidR="00764A4F" w:rsidRPr="00B74333">
        <w:rPr>
          <w:rFonts w:cstheme="minorHAnsi"/>
          <w:sz w:val="24"/>
          <w:szCs w:val="24"/>
        </w:rPr>
        <w:t>shall</w:t>
      </w:r>
      <w:r w:rsidR="00764A4F" w:rsidRPr="00B74333">
        <w:rPr>
          <w:rFonts w:cstheme="minorHAnsi"/>
          <w:b/>
          <w:sz w:val="24"/>
          <w:szCs w:val="24"/>
        </w:rPr>
        <w:t xml:space="preserve"> </w:t>
      </w:r>
      <w:r w:rsidRPr="00B74333">
        <w:rPr>
          <w:rFonts w:cstheme="minorHAnsi"/>
          <w:sz w:val="24"/>
          <w:szCs w:val="24"/>
        </w:rPr>
        <w:t>mean the interconnection point connecting DESFA System and TAP System.</w:t>
      </w:r>
    </w:p>
    <w:p w14:paraId="3338E217" w14:textId="172341B6" w:rsidR="003F50E1" w:rsidRPr="00B74333" w:rsidRDefault="003F50E1" w:rsidP="009F1874">
      <w:pPr>
        <w:spacing w:after="120" w:line="252" w:lineRule="auto"/>
        <w:jc w:val="both"/>
        <w:rPr>
          <w:rFonts w:eastAsia="Arial" w:cstheme="minorHAnsi"/>
          <w:sz w:val="24"/>
          <w:szCs w:val="24"/>
        </w:rPr>
      </w:pPr>
      <w:r w:rsidRPr="00B74333">
        <w:rPr>
          <w:rFonts w:eastAsia="Arial" w:cstheme="minorHAnsi"/>
          <w:b/>
          <w:sz w:val="24"/>
          <w:szCs w:val="24"/>
        </w:rPr>
        <w:t xml:space="preserve">NNGS Standard Transmission Agreement </w:t>
      </w:r>
      <w:r w:rsidR="00764A4F" w:rsidRPr="00B74333">
        <w:rPr>
          <w:rFonts w:eastAsia="Arial" w:cstheme="minorHAnsi"/>
          <w:sz w:val="24"/>
          <w:szCs w:val="24"/>
        </w:rPr>
        <w:t>shall</w:t>
      </w:r>
      <w:r w:rsidR="00764A4F" w:rsidRPr="00B74333">
        <w:rPr>
          <w:rFonts w:eastAsia="Arial" w:cstheme="minorHAnsi"/>
          <w:b/>
          <w:sz w:val="24"/>
          <w:szCs w:val="24"/>
        </w:rPr>
        <w:t xml:space="preserve"> </w:t>
      </w:r>
      <w:r w:rsidR="008847D1" w:rsidRPr="00B74333">
        <w:rPr>
          <w:rFonts w:eastAsia="Arial" w:cstheme="minorHAnsi"/>
          <w:sz w:val="24"/>
          <w:szCs w:val="24"/>
        </w:rPr>
        <w:t>mean</w:t>
      </w:r>
      <w:r w:rsidR="008847D1" w:rsidRPr="00B74333">
        <w:rPr>
          <w:rFonts w:eastAsia="Arial" w:cstheme="minorHAnsi"/>
          <w:b/>
          <w:sz w:val="24"/>
          <w:szCs w:val="24"/>
        </w:rPr>
        <w:t xml:space="preserve"> </w:t>
      </w:r>
      <w:r w:rsidRPr="00B74333">
        <w:rPr>
          <w:rFonts w:eastAsia="Arial" w:cstheme="minorHAnsi"/>
          <w:sz w:val="24"/>
          <w:szCs w:val="24"/>
        </w:rPr>
        <w:t>the standard framework agreement between DESFA and a Transmission User (</w:t>
      </w:r>
      <w:r w:rsidRPr="00B74333">
        <w:rPr>
          <w:rFonts w:cstheme="minorHAnsi"/>
          <w:sz w:val="24"/>
          <w:szCs w:val="24"/>
        </w:rPr>
        <w:t>Government Gazette B 4802/30.10.2020</w:t>
      </w:r>
      <w:r w:rsidRPr="00B74333">
        <w:rPr>
          <w:rFonts w:eastAsia="Arial" w:cstheme="minorHAnsi"/>
          <w:sz w:val="24"/>
          <w:szCs w:val="24"/>
        </w:rPr>
        <w:t xml:space="preserve">) according to article 6A of </w:t>
      </w:r>
      <w:r w:rsidRPr="00B74333">
        <w:rPr>
          <w:rFonts w:cstheme="minorHAnsi"/>
          <w:sz w:val="24"/>
          <w:szCs w:val="24"/>
        </w:rPr>
        <w:t>NNGS Network Code as in force from time to time.</w:t>
      </w:r>
    </w:p>
    <w:p w14:paraId="17C0B9F4" w14:textId="0DD391F4" w:rsidR="003F50E1" w:rsidRPr="00B74333" w:rsidRDefault="003F50E1" w:rsidP="009F1874">
      <w:pPr>
        <w:spacing w:after="120" w:line="276" w:lineRule="auto"/>
        <w:jc w:val="both"/>
        <w:rPr>
          <w:rFonts w:cstheme="minorHAnsi"/>
          <w:sz w:val="24"/>
          <w:szCs w:val="24"/>
        </w:rPr>
      </w:pPr>
      <w:bookmarkStart w:id="97" w:name="_Hlk76989172"/>
      <w:r w:rsidRPr="00B74333">
        <w:rPr>
          <w:rFonts w:cstheme="minorHAnsi"/>
          <w:b/>
          <w:sz w:val="24"/>
          <w:szCs w:val="24"/>
        </w:rPr>
        <w:t>NNGS Network Code</w:t>
      </w:r>
      <w:r w:rsidRPr="00B74333">
        <w:rPr>
          <w:rFonts w:cstheme="minorHAnsi"/>
          <w:sz w:val="24"/>
          <w:szCs w:val="24"/>
        </w:rPr>
        <w:t xml:space="preserve"> </w:t>
      </w:r>
      <w:r w:rsidR="00764A4F" w:rsidRPr="00B74333">
        <w:rPr>
          <w:rFonts w:cstheme="minorHAnsi"/>
          <w:sz w:val="24"/>
          <w:szCs w:val="24"/>
        </w:rPr>
        <w:t xml:space="preserve">shall </w:t>
      </w:r>
      <w:r w:rsidRPr="00B74333">
        <w:rPr>
          <w:rFonts w:cstheme="minorHAnsi"/>
          <w:sz w:val="24"/>
          <w:szCs w:val="24"/>
        </w:rPr>
        <w:t xml:space="preserve">mean the Network Code of the Greek National Natural Gas System (Government Gazette B 5773/04.10.2023) </w:t>
      </w:r>
      <w:bookmarkEnd w:id="97"/>
      <w:r w:rsidRPr="00B74333">
        <w:rPr>
          <w:rFonts w:cstheme="minorHAnsi"/>
          <w:sz w:val="24"/>
          <w:szCs w:val="24"/>
        </w:rPr>
        <w:t>as in force from time to time.</w:t>
      </w:r>
    </w:p>
    <w:p w14:paraId="5F05EC59" w14:textId="7C2E3B8B"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Notice </w:t>
      </w:r>
      <w:r w:rsidRPr="00B74333">
        <w:rPr>
          <w:rFonts w:eastAsia="Calibri" w:cstheme="minorHAnsi"/>
          <w:color w:val="000000"/>
          <w:sz w:val="24"/>
          <w:szCs w:val="24"/>
          <w:lang w:bidi="en-US"/>
        </w:rPr>
        <w:t>shall have the meaning assigned to it in Article 12.3.</w:t>
      </w:r>
    </w:p>
    <w:p w14:paraId="0148ED39" w14:textId="02A98D97"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Project Proposal</w:t>
      </w:r>
      <w:r w:rsidR="00925F1C" w:rsidRPr="00B74333">
        <w:rPr>
          <w:rFonts w:eastAsia="Calibri" w:cstheme="minorHAnsi"/>
          <w:b/>
          <w:color w:val="000000"/>
          <w:sz w:val="24"/>
          <w:szCs w:val="24"/>
          <w:lang w:bidi="en-US"/>
        </w:rPr>
        <w:t>(</w:t>
      </w:r>
      <w:r w:rsidR="00597291" w:rsidRPr="00B74333">
        <w:rPr>
          <w:rFonts w:eastAsia="Calibri" w:cstheme="minorHAnsi"/>
          <w:b/>
          <w:color w:val="000000"/>
          <w:sz w:val="24"/>
          <w:szCs w:val="24"/>
          <w:lang w:bidi="en-US"/>
        </w:rPr>
        <w:t>s</w:t>
      </w:r>
      <w:r w:rsidR="00925F1C" w:rsidRPr="00B74333">
        <w:rPr>
          <w:rFonts w:eastAsia="Calibri" w:cstheme="minorHAnsi"/>
          <w:b/>
          <w:color w:val="000000"/>
          <w:sz w:val="24"/>
          <w:szCs w:val="24"/>
          <w:lang w:bidi="en-US"/>
        </w:rPr>
        <w:t>)</w:t>
      </w:r>
      <w:r w:rsidRPr="00B74333">
        <w:rPr>
          <w:rFonts w:eastAsia="Calibri" w:cstheme="minorHAnsi"/>
          <w:b/>
          <w:bCs/>
          <w:color w:val="000000"/>
          <w:sz w:val="24"/>
          <w:szCs w:val="24"/>
          <w:lang w:bidi="en-US"/>
        </w:rPr>
        <w:t xml:space="preserve"> </w:t>
      </w:r>
      <w:r w:rsidR="00764A4F" w:rsidRPr="00B74333">
        <w:rPr>
          <w:rFonts w:eastAsia="Calibri" w:cstheme="minorHAnsi"/>
          <w:color w:val="000000"/>
          <w:sz w:val="24"/>
          <w:szCs w:val="24"/>
          <w:lang w:bidi="en-US"/>
        </w:rPr>
        <w:t>shall</w:t>
      </w:r>
      <w:r w:rsidR="00764A4F" w:rsidRPr="00B74333">
        <w:rPr>
          <w:rFonts w:eastAsia="Calibri" w:cstheme="minorHAnsi"/>
          <w:b/>
          <w:color w:val="000000"/>
          <w:sz w:val="24"/>
          <w:szCs w:val="24"/>
          <w:lang w:bidi="en-US"/>
        </w:rPr>
        <w:t xml:space="preserve"> </w:t>
      </w:r>
      <w:r w:rsidR="00597291" w:rsidRPr="00B74333">
        <w:rPr>
          <w:rFonts w:eastAsia="Calibri" w:cstheme="minorHAnsi"/>
          <w:color w:val="000000"/>
          <w:sz w:val="24"/>
          <w:szCs w:val="24"/>
          <w:lang w:bidi="en-US"/>
        </w:rPr>
        <w:t>mean</w:t>
      </w:r>
      <w:r w:rsidR="00597291" w:rsidRPr="00B74333">
        <w:rPr>
          <w:rFonts w:eastAsia="Calibri" w:cstheme="minorHAnsi"/>
          <w:b/>
          <w:color w:val="000000"/>
          <w:sz w:val="24"/>
          <w:szCs w:val="24"/>
          <w:lang w:bidi="en-US"/>
        </w:rPr>
        <w:t xml:space="preserve"> </w:t>
      </w:r>
      <w:r w:rsidR="00597291" w:rsidRPr="00B74333">
        <w:rPr>
          <w:rFonts w:eastAsia="Calibri" w:cstheme="minorHAnsi"/>
          <w:color w:val="000000"/>
          <w:sz w:val="24"/>
          <w:szCs w:val="24"/>
          <w:lang w:bidi="en-US"/>
        </w:rPr>
        <w:t>the incremental capacity project proposal</w:t>
      </w:r>
      <w:r w:rsidR="00925F1C" w:rsidRPr="00B74333">
        <w:rPr>
          <w:rFonts w:eastAsia="Calibri" w:cstheme="minorHAnsi"/>
          <w:color w:val="000000"/>
          <w:sz w:val="24"/>
          <w:szCs w:val="24"/>
          <w:lang w:bidi="en-US"/>
        </w:rPr>
        <w:t>(</w:t>
      </w:r>
      <w:r w:rsidR="00597291" w:rsidRPr="00B74333">
        <w:rPr>
          <w:rFonts w:eastAsia="Calibri" w:cstheme="minorHAnsi"/>
          <w:color w:val="000000"/>
          <w:sz w:val="24"/>
          <w:szCs w:val="24"/>
          <w:lang w:bidi="en-US"/>
        </w:rPr>
        <w:t>s</w:t>
      </w:r>
      <w:r w:rsidR="00925F1C" w:rsidRPr="00B74333">
        <w:rPr>
          <w:rFonts w:eastAsia="Calibri" w:cstheme="minorHAnsi"/>
          <w:color w:val="000000"/>
          <w:sz w:val="24"/>
          <w:szCs w:val="24"/>
          <w:lang w:bidi="en-US"/>
        </w:rPr>
        <w:t>)</w:t>
      </w:r>
      <w:r w:rsidR="00597291" w:rsidRPr="00B74333">
        <w:rPr>
          <w:rFonts w:eastAsia="Calibri" w:cstheme="minorHAnsi"/>
          <w:color w:val="000000"/>
          <w:sz w:val="24"/>
          <w:szCs w:val="24"/>
          <w:lang w:bidi="en-US"/>
        </w:rPr>
        <w:t>, which describe</w:t>
      </w:r>
      <w:r w:rsidR="007623DB" w:rsidRPr="00B74333">
        <w:rPr>
          <w:rFonts w:eastAsia="Calibri" w:cstheme="minorHAnsi"/>
          <w:color w:val="000000"/>
          <w:sz w:val="24"/>
          <w:szCs w:val="24"/>
          <w:lang w:bidi="en-US"/>
        </w:rPr>
        <w:t>(s)</w:t>
      </w:r>
      <w:r w:rsidR="00597291" w:rsidRPr="00B74333">
        <w:rPr>
          <w:rFonts w:eastAsia="Calibri" w:cstheme="minorHAnsi"/>
          <w:color w:val="000000"/>
          <w:sz w:val="24"/>
          <w:szCs w:val="24"/>
          <w:lang w:bidi="en-US"/>
        </w:rPr>
        <w:t xml:space="preserve"> the technical project and the process that will be followed in order the TSOs Concerned to offer firm incremental capacity at the</w:t>
      </w:r>
      <w:r w:rsidR="00A37BDD" w:rsidRPr="00B74333">
        <w:rPr>
          <w:rFonts w:eastAsia="Calibri" w:cstheme="minorHAnsi"/>
          <w:color w:val="000000"/>
          <w:sz w:val="24"/>
          <w:szCs w:val="24"/>
          <w:lang w:bidi="en-US"/>
        </w:rPr>
        <w:t xml:space="preserve"> </w:t>
      </w:r>
      <w:r w:rsidR="00A37BDD" w:rsidRPr="00B74333">
        <w:rPr>
          <w:rFonts w:eastAsia="Calibri" w:cstheme="minorHAnsi"/>
          <w:i/>
          <w:iCs/>
          <w:color w:val="000000"/>
          <w:sz w:val="24"/>
          <w:szCs w:val="24"/>
          <w:lang w:bidi="en-US"/>
        </w:rPr>
        <w:t>[choose among</w:t>
      </w:r>
      <w:r w:rsidR="005E0577" w:rsidRPr="00B74333">
        <w:rPr>
          <w:rFonts w:eastAsia="Calibri" w:cstheme="minorHAnsi"/>
          <w:i/>
          <w:iCs/>
          <w:color w:val="000000"/>
          <w:sz w:val="24"/>
          <w:szCs w:val="24"/>
          <w:lang w:bidi="en-US"/>
        </w:rPr>
        <w:t xml:space="preserve"> (i)</w:t>
      </w:r>
      <w:r w:rsidR="007D2CCC" w:rsidRPr="00B74333">
        <w:rPr>
          <w:rFonts w:cstheme="minorHAnsi"/>
          <w:i/>
        </w:rPr>
        <w:t xml:space="preserve"> </w:t>
      </w:r>
      <w:r w:rsidR="007D2CCC" w:rsidRPr="00B74333">
        <w:rPr>
          <w:rFonts w:eastAsia="Calibri" w:cstheme="minorHAnsi"/>
          <w:i/>
          <w:iCs/>
          <w:color w:val="000000"/>
          <w:sz w:val="24"/>
          <w:szCs w:val="24"/>
          <w:lang w:bidi="en-US"/>
        </w:rPr>
        <w:t xml:space="preserve">to (iii) as appropriate and delete the remaining cases: (i) </w:t>
      </w:r>
      <w:proofErr w:type="spellStart"/>
      <w:r w:rsidR="007D2CCC" w:rsidRPr="00B74333">
        <w:rPr>
          <w:rFonts w:eastAsia="Calibri" w:cstheme="minorHAnsi"/>
          <w:i/>
          <w:iCs/>
          <w:color w:val="000000"/>
          <w:sz w:val="24"/>
          <w:szCs w:val="24"/>
          <w:lang w:bidi="en-US"/>
        </w:rPr>
        <w:t>Kulata</w:t>
      </w:r>
      <w:proofErr w:type="spellEnd"/>
      <w:r w:rsidR="007D2CCC" w:rsidRPr="00B74333">
        <w:rPr>
          <w:rFonts w:eastAsia="Calibri" w:cstheme="minorHAnsi"/>
          <w:i/>
          <w:iCs/>
          <w:color w:val="000000"/>
          <w:sz w:val="24"/>
          <w:szCs w:val="24"/>
          <w:lang w:bidi="en-US"/>
        </w:rPr>
        <w:t>/</w:t>
      </w:r>
      <w:proofErr w:type="spellStart"/>
      <w:r w:rsidR="007D2CCC" w:rsidRPr="00B74333">
        <w:rPr>
          <w:rFonts w:eastAsia="Calibri" w:cstheme="minorHAnsi"/>
          <w:i/>
          <w:iCs/>
          <w:color w:val="000000"/>
          <w:sz w:val="24"/>
          <w:szCs w:val="24"/>
          <w:lang w:bidi="en-US"/>
        </w:rPr>
        <w:t>Sidirokastro</w:t>
      </w:r>
      <w:proofErr w:type="spellEnd"/>
      <w:r w:rsidR="007D2CCC" w:rsidRPr="00B74333">
        <w:rPr>
          <w:rFonts w:eastAsia="Calibri" w:cstheme="minorHAnsi"/>
          <w:i/>
          <w:iCs/>
          <w:color w:val="000000"/>
          <w:sz w:val="24"/>
          <w:szCs w:val="24"/>
          <w:lang w:bidi="en-US"/>
        </w:rPr>
        <w:t xml:space="preserve"> IP</w:t>
      </w:r>
      <w:r w:rsidR="007B5CDF" w:rsidRPr="00B74333">
        <w:rPr>
          <w:rFonts w:eastAsia="Calibri" w:cstheme="minorHAnsi"/>
          <w:i/>
          <w:color w:val="000000"/>
          <w:sz w:val="24"/>
          <w:szCs w:val="24"/>
          <w:lang w:bidi="en-US"/>
        </w:rPr>
        <w:t xml:space="preserve"> and was approved </w:t>
      </w:r>
      <w:r w:rsidR="00F6107C" w:rsidRPr="00B74333">
        <w:rPr>
          <w:rFonts w:eastAsia="Calibri" w:cstheme="minorHAnsi"/>
          <w:i/>
          <w:color w:val="000000"/>
          <w:sz w:val="24"/>
          <w:szCs w:val="24"/>
          <w:lang w:bidi="en-US"/>
        </w:rPr>
        <w:t>by RAEWW</w:t>
      </w:r>
      <w:r w:rsidR="0056002B" w:rsidRPr="00B74333">
        <w:rPr>
          <w:rFonts w:eastAsia="Calibri" w:cstheme="minorHAnsi"/>
          <w:i/>
          <w:color w:val="000000"/>
          <w:sz w:val="24"/>
          <w:szCs w:val="24"/>
          <w:lang w:bidi="en-US"/>
        </w:rPr>
        <w:t xml:space="preserve"> by its </w:t>
      </w:r>
      <w:r w:rsidR="009D5D7D" w:rsidRPr="00B74333">
        <w:rPr>
          <w:rFonts w:eastAsia="Calibri" w:cstheme="minorHAnsi"/>
          <w:i/>
          <w:color w:val="000000"/>
          <w:sz w:val="24"/>
          <w:szCs w:val="24"/>
          <w:lang w:bidi="en-US"/>
        </w:rPr>
        <w:t>Decision</w:t>
      </w:r>
      <w:r w:rsidR="0034076B" w:rsidRPr="00B74333">
        <w:rPr>
          <w:rFonts w:eastAsia="Calibri" w:cstheme="minorHAnsi"/>
          <w:i/>
          <w:color w:val="000000"/>
          <w:sz w:val="24"/>
          <w:szCs w:val="24"/>
          <w:lang w:bidi="en-US"/>
        </w:rPr>
        <w:t xml:space="preserve"> No.</w:t>
      </w:r>
      <w:r w:rsidR="00F00988" w:rsidRPr="00B74333">
        <w:rPr>
          <w:rFonts w:eastAsia="Calibri" w:cstheme="minorHAnsi"/>
          <w:i/>
          <w:color w:val="000000"/>
          <w:sz w:val="24"/>
          <w:szCs w:val="24"/>
          <w:lang w:bidi="en-US"/>
        </w:rPr>
        <w:t xml:space="preserve"> </w:t>
      </w:r>
      <w:r w:rsidR="004F57E5" w:rsidRPr="00B74333">
        <w:rPr>
          <w:rFonts w:eastAsia="Calibri" w:cstheme="minorHAnsi"/>
          <w:i/>
          <w:color w:val="000000"/>
          <w:sz w:val="24"/>
          <w:szCs w:val="24"/>
          <w:lang w:val="el-GR" w:bidi="en-US"/>
        </w:rPr>
        <w:t>Ε</w:t>
      </w:r>
      <w:r w:rsidR="004F57E5" w:rsidRPr="00B74333">
        <w:rPr>
          <w:rFonts w:eastAsia="Calibri" w:cstheme="minorHAnsi"/>
          <w:i/>
          <w:color w:val="000000"/>
          <w:sz w:val="24"/>
          <w:szCs w:val="24"/>
          <w:lang w:bidi="en-US"/>
        </w:rPr>
        <w:t>-94/2024</w:t>
      </w:r>
      <w:r w:rsidR="007D2CCC" w:rsidRPr="00B74333">
        <w:rPr>
          <w:rFonts w:eastAsia="Calibri" w:cstheme="minorHAnsi"/>
          <w:i/>
          <w:iCs/>
          <w:color w:val="000000"/>
          <w:sz w:val="24"/>
          <w:szCs w:val="24"/>
          <w:lang w:bidi="en-US"/>
        </w:rPr>
        <w:t>,</w:t>
      </w:r>
      <w:r w:rsidR="00671C3E" w:rsidRPr="00B74333">
        <w:rPr>
          <w:rFonts w:eastAsia="Calibri" w:cstheme="minorHAnsi"/>
          <w:i/>
          <w:color w:val="000000"/>
          <w:sz w:val="24"/>
          <w:szCs w:val="24"/>
          <w:lang w:bidi="en-US"/>
        </w:rPr>
        <w:t xml:space="preserve"> or</w:t>
      </w:r>
      <w:r w:rsidR="007D2CCC" w:rsidRPr="00B74333">
        <w:rPr>
          <w:rFonts w:eastAsia="Calibri" w:cstheme="minorHAnsi"/>
          <w:i/>
          <w:iCs/>
          <w:color w:val="000000"/>
          <w:sz w:val="24"/>
          <w:szCs w:val="24"/>
          <w:lang w:bidi="en-US"/>
        </w:rPr>
        <w:t xml:space="preserve"> (ii) Komotini IP</w:t>
      </w:r>
      <w:r w:rsidR="00CC71E8" w:rsidRPr="00B74333">
        <w:rPr>
          <w:rFonts w:eastAsia="Calibri" w:cstheme="minorHAnsi"/>
          <w:i/>
          <w:color w:val="000000"/>
          <w:sz w:val="24"/>
          <w:szCs w:val="24"/>
          <w:lang w:bidi="en-US"/>
        </w:rPr>
        <w:t xml:space="preserve"> and was approved by RAEWW by its Decision No.</w:t>
      </w:r>
      <w:r w:rsidR="00F00988" w:rsidRPr="00B74333">
        <w:rPr>
          <w:rFonts w:eastAsia="Calibri" w:cstheme="minorHAnsi"/>
          <w:i/>
          <w:color w:val="000000"/>
          <w:sz w:val="24"/>
          <w:szCs w:val="24"/>
          <w:lang w:bidi="en-US"/>
        </w:rPr>
        <w:t xml:space="preserve"> </w:t>
      </w:r>
      <w:r w:rsidR="004F57E5" w:rsidRPr="00B74333">
        <w:rPr>
          <w:rFonts w:eastAsia="Calibri" w:cstheme="minorHAnsi"/>
          <w:i/>
          <w:color w:val="000000"/>
          <w:sz w:val="24"/>
          <w:szCs w:val="24"/>
          <w:lang w:val="el-GR" w:bidi="en-US"/>
        </w:rPr>
        <w:t>Ε</w:t>
      </w:r>
      <w:r w:rsidR="004F57E5" w:rsidRPr="00B74333">
        <w:rPr>
          <w:rFonts w:eastAsia="Calibri" w:cstheme="minorHAnsi"/>
          <w:i/>
          <w:color w:val="000000"/>
          <w:sz w:val="24"/>
          <w:szCs w:val="24"/>
          <w:lang w:bidi="en-US"/>
        </w:rPr>
        <w:t>-95/2024</w:t>
      </w:r>
      <w:r w:rsidR="007D2CCC" w:rsidRPr="00B74333">
        <w:rPr>
          <w:rFonts w:eastAsia="Calibri" w:cstheme="minorHAnsi"/>
          <w:i/>
          <w:iCs/>
          <w:color w:val="000000"/>
          <w:sz w:val="24"/>
          <w:szCs w:val="24"/>
          <w:lang w:bidi="en-US"/>
        </w:rPr>
        <w:t xml:space="preserve"> or (iii) Kulata/Sidirokastro IP and Komotini IP</w:t>
      </w:r>
      <w:r w:rsidR="00642BB0" w:rsidRPr="00B74333">
        <w:rPr>
          <w:rFonts w:eastAsia="Calibri" w:cstheme="minorHAnsi"/>
          <w:i/>
          <w:color w:val="000000"/>
          <w:sz w:val="24"/>
          <w:szCs w:val="24"/>
          <w:lang w:bidi="en-US"/>
        </w:rPr>
        <w:t xml:space="preserve"> and were approved by RAEWW</w:t>
      </w:r>
      <w:r w:rsidR="00FB01FA" w:rsidRPr="00B74333">
        <w:rPr>
          <w:rFonts w:eastAsia="Calibri" w:cstheme="minorHAnsi"/>
          <w:i/>
          <w:color w:val="000000"/>
          <w:sz w:val="24"/>
          <w:szCs w:val="24"/>
          <w:lang w:bidi="en-US"/>
        </w:rPr>
        <w:t xml:space="preserve"> by its </w:t>
      </w:r>
      <w:r w:rsidR="00C4144F" w:rsidRPr="00B74333">
        <w:rPr>
          <w:rFonts w:eastAsia="Calibri" w:cstheme="minorHAnsi"/>
          <w:i/>
          <w:color w:val="000000"/>
          <w:sz w:val="24"/>
          <w:szCs w:val="24"/>
          <w:lang w:bidi="en-US"/>
        </w:rPr>
        <w:t>D</w:t>
      </w:r>
      <w:r w:rsidR="00FB01FA" w:rsidRPr="00B74333">
        <w:rPr>
          <w:rFonts w:eastAsia="Calibri" w:cstheme="minorHAnsi"/>
          <w:i/>
          <w:color w:val="000000"/>
          <w:sz w:val="24"/>
          <w:szCs w:val="24"/>
          <w:lang w:bidi="en-US"/>
        </w:rPr>
        <w:t>ecision</w:t>
      </w:r>
      <w:r w:rsidR="006D5CD5" w:rsidRPr="00B74333">
        <w:rPr>
          <w:rFonts w:eastAsia="Calibri" w:cstheme="minorHAnsi"/>
          <w:i/>
          <w:color w:val="000000"/>
          <w:sz w:val="24"/>
          <w:szCs w:val="24"/>
          <w:lang w:bidi="en-US"/>
        </w:rPr>
        <w:t xml:space="preserve"> No.</w:t>
      </w:r>
      <w:r w:rsidR="00F00988" w:rsidRPr="00B74333">
        <w:rPr>
          <w:rFonts w:eastAsia="Calibri" w:cstheme="minorHAnsi"/>
          <w:i/>
          <w:color w:val="000000"/>
          <w:sz w:val="24"/>
          <w:szCs w:val="24"/>
          <w:lang w:bidi="en-US"/>
        </w:rPr>
        <w:t xml:space="preserve"> </w:t>
      </w:r>
      <w:r w:rsidR="00F00988" w:rsidRPr="00B74333">
        <w:rPr>
          <w:rFonts w:eastAsia="Calibri" w:cstheme="minorHAnsi"/>
          <w:i/>
          <w:color w:val="000000"/>
          <w:sz w:val="24"/>
          <w:szCs w:val="24"/>
          <w:lang w:val="el-GR" w:bidi="en-US"/>
        </w:rPr>
        <w:t>Ε</w:t>
      </w:r>
      <w:r w:rsidR="00F00988" w:rsidRPr="00B74333">
        <w:rPr>
          <w:rFonts w:eastAsia="Calibri" w:cstheme="minorHAnsi"/>
          <w:i/>
          <w:color w:val="000000"/>
          <w:sz w:val="24"/>
          <w:szCs w:val="24"/>
          <w:lang w:bidi="en-US"/>
        </w:rPr>
        <w:t>-94/2024</w:t>
      </w:r>
      <w:r w:rsidR="00ED044F" w:rsidRPr="00B74333">
        <w:rPr>
          <w:rFonts w:eastAsia="Calibri" w:cstheme="minorHAnsi"/>
          <w:i/>
          <w:color w:val="000000"/>
          <w:sz w:val="24"/>
          <w:szCs w:val="24"/>
          <w:lang w:bidi="en-US"/>
        </w:rPr>
        <w:t xml:space="preserve"> and Decision</w:t>
      </w:r>
      <w:r w:rsidR="0073126F" w:rsidRPr="00B74333">
        <w:rPr>
          <w:rFonts w:eastAsia="Calibri" w:cstheme="minorHAnsi"/>
          <w:i/>
          <w:color w:val="000000"/>
          <w:sz w:val="24"/>
          <w:szCs w:val="24"/>
          <w:lang w:bidi="en-US"/>
        </w:rPr>
        <w:t xml:space="preserve"> No.</w:t>
      </w:r>
      <w:r w:rsidR="00F00988" w:rsidRPr="00B74333">
        <w:rPr>
          <w:rFonts w:eastAsia="Calibri" w:cstheme="minorHAnsi"/>
          <w:i/>
          <w:iCs/>
          <w:color w:val="000000"/>
          <w:sz w:val="24"/>
          <w:szCs w:val="24"/>
          <w:lang w:bidi="en-US"/>
        </w:rPr>
        <w:t xml:space="preserve"> </w:t>
      </w:r>
      <w:r w:rsidR="00EB1301" w:rsidRPr="00B74333">
        <w:rPr>
          <w:rFonts w:eastAsia="Calibri" w:cstheme="minorHAnsi"/>
          <w:i/>
          <w:iCs/>
          <w:color w:val="000000"/>
          <w:sz w:val="24"/>
          <w:szCs w:val="24"/>
          <w:lang w:val="el-GR" w:bidi="en-US"/>
        </w:rPr>
        <w:t>Ε</w:t>
      </w:r>
      <w:r w:rsidR="00EB1301" w:rsidRPr="00B74333">
        <w:rPr>
          <w:rFonts w:eastAsia="Calibri" w:cstheme="minorHAnsi"/>
          <w:i/>
          <w:iCs/>
          <w:color w:val="000000"/>
          <w:sz w:val="24"/>
          <w:szCs w:val="24"/>
          <w:lang w:bidi="en-US"/>
        </w:rPr>
        <w:t xml:space="preserve">-95/2024 </w:t>
      </w:r>
      <w:r w:rsidR="007D2CCC" w:rsidRPr="00B74333">
        <w:rPr>
          <w:rFonts w:eastAsia="Calibri" w:cstheme="minorHAnsi"/>
          <w:i/>
          <w:iCs/>
          <w:color w:val="000000"/>
          <w:sz w:val="24"/>
          <w:szCs w:val="24"/>
          <w:lang w:bidi="en-US"/>
        </w:rPr>
        <w:t>respectively]</w:t>
      </w:r>
      <w:r w:rsidR="00597291" w:rsidRPr="00B74333">
        <w:rPr>
          <w:rFonts w:eastAsia="Calibri" w:cstheme="minorHAnsi"/>
          <w:color w:val="000000"/>
          <w:sz w:val="24"/>
          <w:szCs w:val="24"/>
          <w:lang w:bidi="en-US"/>
        </w:rPr>
        <w:t>.</w:t>
      </w:r>
    </w:p>
    <w:p w14:paraId="65C163D8" w14:textId="78935846"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RAE</w:t>
      </w:r>
      <w:r w:rsidR="00597291" w:rsidRPr="00B74333">
        <w:rPr>
          <w:rFonts w:eastAsia="Calibri" w:cstheme="minorHAnsi"/>
          <w:b/>
          <w:bCs/>
          <w:color w:val="000000"/>
          <w:sz w:val="24"/>
          <w:szCs w:val="24"/>
          <w:lang w:bidi="en-US"/>
        </w:rPr>
        <w:t>W</w:t>
      </w:r>
      <w:r w:rsidR="00CD5B50" w:rsidRPr="00B74333">
        <w:rPr>
          <w:rFonts w:eastAsia="Calibri" w:cstheme="minorHAnsi"/>
          <w:b/>
          <w:bCs/>
          <w:color w:val="000000"/>
          <w:sz w:val="24"/>
          <w:szCs w:val="24"/>
          <w:lang w:bidi="en-US"/>
        </w:rPr>
        <w:t>W</w:t>
      </w:r>
      <w:r w:rsidRPr="00B74333">
        <w:rPr>
          <w:rFonts w:eastAsia="Calibri" w:cstheme="minorHAnsi"/>
          <w:b/>
          <w:bCs/>
          <w:color w:val="000000"/>
          <w:sz w:val="24"/>
          <w:szCs w:val="24"/>
          <w:lang w:bidi="en-US"/>
        </w:rPr>
        <w:t xml:space="preserve"> </w:t>
      </w:r>
      <w:r w:rsidR="00764A4F" w:rsidRPr="00B74333">
        <w:rPr>
          <w:rFonts w:eastAsia="Calibri" w:cstheme="minorHAnsi"/>
          <w:color w:val="000000"/>
          <w:sz w:val="24"/>
          <w:szCs w:val="24"/>
          <w:lang w:bidi="en-US"/>
        </w:rPr>
        <w:t>shall</w:t>
      </w:r>
      <w:r w:rsidR="00764A4F" w:rsidRPr="00B74333">
        <w:rPr>
          <w:rFonts w:eastAsia="Calibri" w:cstheme="minorHAnsi"/>
          <w:b/>
          <w:bCs/>
          <w:color w:val="000000"/>
          <w:sz w:val="24"/>
          <w:szCs w:val="24"/>
          <w:lang w:bidi="en-US"/>
        </w:rPr>
        <w:t xml:space="preserve"> </w:t>
      </w:r>
      <w:r w:rsidRPr="00B74333">
        <w:rPr>
          <w:rFonts w:eastAsia="Calibri" w:cstheme="minorHAnsi"/>
          <w:color w:val="000000"/>
          <w:sz w:val="24"/>
          <w:szCs w:val="24"/>
          <w:lang w:bidi="en-US"/>
        </w:rPr>
        <w:t xml:space="preserve">mean the Hellenic Regulatory Authority for </w:t>
      </w:r>
      <w:r w:rsidR="00CD5B50" w:rsidRPr="00B74333">
        <w:rPr>
          <w:rFonts w:eastAsia="Calibri" w:cstheme="minorHAnsi"/>
          <w:color w:val="000000"/>
          <w:sz w:val="24"/>
          <w:szCs w:val="24"/>
          <w:lang w:bidi="en-US"/>
        </w:rPr>
        <w:t xml:space="preserve">Waste, </w:t>
      </w:r>
      <w:r w:rsidRPr="00B74333">
        <w:rPr>
          <w:rFonts w:eastAsia="Calibri" w:cstheme="minorHAnsi"/>
          <w:color w:val="000000"/>
          <w:sz w:val="24"/>
          <w:szCs w:val="24"/>
          <w:lang w:bidi="en-US"/>
        </w:rPr>
        <w:t>Energy</w:t>
      </w:r>
      <w:r w:rsidR="00CD5B50" w:rsidRPr="00B74333">
        <w:rPr>
          <w:rFonts w:eastAsia="Calibri" w:cstheme="minorHAnsi"/>
          <w:color w:val="000000"/>
          <w:sz w:val="24"/>
          <w:szCs w:val="24"/>
          <w:lang w:bidi="en-US"/>
        </w:rPr>
        <w:t xml:space="preserve"> and Water</w:t>
      </w:r>
      <w:r w:rsidRPr="00B74333">
        <w:rPr>
          <w:rFonts w:eastAsia="Calibri" w:cstheme="minorHAnsi"/>
          <w:color w:val="000000"/>
          <w:sz w:val="24"/>
          <w:szCs w:val="24"/>
          <w:lang w:bidi="en-US"/>
        </w:rPr>
        <w:t>.</w:t>
      </w:r>
    </w:p>
    <w:p w14:paraId="6572BE1F" w14:textId="47AE6200" w:rsidR="0020759B" w:rsidRPr="00B74333" w:rsidRDefault="0020759B" w:rsidP="00192F18">
      <w:pPr>
        <w:widowControl w:val="0"/>
        <w:spacing w:after="120" w:line="271" w:lineRule="auto"/>
        <w:jc w:val="both"/>
        <w:rPr>
          <w:rFonts w:eastAsia="Calibri" w:cstheme="minorHAnsi"/>
          <w:b/>
          <w:color w:val="000000"/>
          <w:sz w:val="24"/>
          <w:szCs w:val="24"/>
          <w:lang w:bidi="en-US"/>
        </w:rPr>
      </w:pPr>
      <w:r w:rsidRPr="00B74333">
        <w:rPr>
          <w:rFonts w:eastAsia="Calibri" w:cstheme="minorHAnsi"/>
          <w:b/>
          <w:color w:val="000000"/>
          <w:sz w:val="24"/>
          <w:szCs w:val="24"/>
          <w:lang w:bidi="en-US"/>
        </w:rPr>
        <w:t>Step-out Deadline</w:t>
      </w:r>
      <w:r w:rsidRPr="00B74333">
        <w:rPr>
          <w:rFonts w:eastAsia="Calibri" w:cstheme="minorHAnsi"/>
          <w:color w:val="000000"/>
          <w:sz w:val="24"/>
          <w:szCs w:val="24"/>
          <w:lang w:bidi="en-US"/>
        </w:rPr>
        <w:t xml:space="preserve"> </w:t>
      </w:r>
      <w:r w:rsidR="00764A4F" w:rsidRPr="00B74333">
        <w:rPr>
          <w:rFonts w:eastAsia="Calibri" w:cstheme="minorHAnsi"/>
          <w:color w:val="000000"/>
          <w:sz w:val="24"/>
          <w:szCs w:val="24"/>
          <w:lang w:bidi="en-US"/>
        </w:rPr>
        <w:t xml:space="preserve">shall </w:t>
      </w:r>
      <w:r w:rsidRPr="00B74333">
        <w:rPr>
          <w:rFonts w:eastAsia="Calibri" w:cstheme="minorHAnsi"/>
          <w:color w:val="000000"/>
          <w:sz w:val="24"/>
          <w:szCs w:val="24"/>
          <w:lang w:bidi="en-US"/>
        </w:rPr>
        <w:t xml:space="preserve">mean the date of </w:t>
      </w:r>
      <w:r w:rsidR="00AA55D3" w:rsidRPr="00B74333">
        <w:rPr>
          <w:rFonts w:eastAsia="Calibri" w:cstheme="minorHAnsi"/>
          <w:color w:val="000000"/>
          <w:sz w:val="24"/>
          <w:szCs w:val="24"/>
          <w:lang w:bidi="en-US"/>
        </w:rPr>
        <w:t>28</w:t>
      </w:r>
      <w:r w:rsidRPr="00B74333">
        <w:rPr>
          <w:rFonts w:eastAsia="Calibri" w:cstheme="minorHAnsi"/>
          <w:color w:val="000000"/>
          <w:sz w:val="24"/>
          <w:szCs w:val="24"/>
          <w:lang w:bidi="en-US"/>
        </w:rPr>
        <w:t>.0</w:t>
      </w:r>
      <w:r w:rsidR="00AA55D3" w:rsidRPr="00B74333">
        <w:rPr>
          <w:rFonts w:eastAsia="Calibri" w:cstheme="minorHAnsi"/>
          <w:color w:val="000000"/>
          <w:sz w:val="24"/>
          <w:szCs w:val="24"/>
          <w:lang w:bidi="en-US"/>
        </w:rPr>
        <w:t>2</w:t>
      </w:r>
      <w:r w:rsidRPr="00B74333">
        <w:rPr>
          <w:rFonts w:eastAsia="Calibri" w:cstheme="minorHAnsi"/>
          <w:color w:val="000000"/>
          <w:sz w:val="24"/>
          <w:szCs w:val="24"/>
          <w:lang w:bidi="en-US"/>
        </w:rPr>
        <w:t>.202</w:t>
      </w:r>
      <w:r w:rsidR="00AA55D3" w:rsidRPr="00B74333">
        <w:rPr>
          <w:rFonts w:eastAsia="Calibri" w:cstheme="minorHAnsi"/>
          <w:color w:val="000000"/>
          <w:sz w:val="24"/>
          <w:szCs w:val="24"/>
          <w:lang w:bidi="en-US"/>
        </w:rPr>
        <w:t>4.</w:t>
      </w:r>
    </w:p>
    <w:p w14:paraId="1DE66600" w14:textId="22B364EF"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Tariff Regulation </w:t>
      </w:r>
      <w:r w:rsidR="00A26B2D" w:rsidRPr="00B74333">
        <w:rPr>
          <w:rFonts w:eastAsia="Calibri" w:cstheme="minorHAnsi"/>
          <w:color w:val="000000"/>
          <w:sz w:val="24"/>
          <w:szCs w:val="24"/>
          <w:lang w:bidi="en-US"/>
        </w:rPr>
        <w:t>shall</w:t>
      </w:r>
      <w:r w:rsidR="00A26B2D" w:rsidRPr="00B74333">
        <w:rPr>
          <w:rFonts w:eastAsia="Calibri" w:cstheme="minorHAnsi"/>
          <w:b/>
          <w:bCs/>
          <w:color w:val="000000"/>
          <w:sz w:val="24"/>
          <w:szCs w:val="24"/>
          <w:lang w:bidi="en-US"/>
        </w:rPr>
        <w:t xml:space="preserve"> </w:t>
      </w:r>
      <w:r w:rsidR="00C40D2C" w:rsidRPr="00B74333">
        <w:rPr>
          <w:rFonts w:eastAsia="Calibri" w:cstheme="minorHAnsi"/>
          <w:color w:val="000000"/>
          <w:sz w:val="24"/>
          <w:szCs w:val="24"/>
          <w:lang w:bidi="en-US"/>
        </w:rPr>
        <w:t>mean the Tariff Regulation for the Basic Activities of the National Natural Gas System as defined in article 88 of Law 4001/2011</w:t>
      </w:r>
      <w:r w:rsidR="002737F2" w:rsidRPr="00B74333">
        <w:rPr>
          <w:rFonts w:eastAsia="Calibri" w:cstheme="minorHAnsi"/>
          <w:color w:val="000000"/>
          <w:sz w:val="24"/>
          <w:szCs w:val="24"/>
          <w:lang w:bidi="en-US"/>
        </w:rPr>
        <w:t xml:space="preserve"> (Government Gazette A </w:t>
      </w:r>
      <w:r w:rsidR="00DF398D" w:rsidRPr="00B74333">
        <w:rPr>
          <w:rFonts w:eastAsia="Calibri" w:cstheme="minorHAnsi"/>
          <w:color w:val="000000"/>
          <w:sz w:val="24"/>
          <w:szCs w:val="24"/>
          <w:lang w:bidi="en-US"/>
        </w:rPr>
        <w:t>179</w:t>
      </w:r>
      <w:r w:rsidR="002737F2" w:rsidRPr="00B74333">
        <w:rPr>
          <w:rFonts w:eastAsia="Calibri" w:cstheme="minorHAnsi"/>
          <w:color w:val="000000"/>
          <w:sz w:val="24"/>
          <w:szCs w:val="24"/>
          <w:lang w:bidi="en-US"/>
        </w:rPr>
        <w:t>/</w:t>
      </w:r>
      <w:r w:rsidR="00BD4FA0" w:rsidRPr="00B74333">
        <w:rPr>
          <w:rFonts w:eastAsia="Calibri" w:cstheme="minorHAnsi"/>
          <w:color w:val="000000"/>
          <w:sz w:val="24"/>
          <w:szCs w:val="24"/>
          <w:lang w:bidi="en-US"/>
        </w:rPr>
        <w:t>22</w:t>
      </w:r>
      <w:r w:rsidR="002737F2" w:rsidRPr="00B74333">
        <w:rPr>
          <w:rFonts w:eastAsia="Calibri" w:cstheme="minorHAnsi"/>
          <w:color w:val="000000"/>
          <w:sz w:val="24"/>
          <w:szCs w:val="24"/>
          <w:lang w:bidi="en-US"/>
        </w:rPr>
        <w:t>.</w:t>
      </w:r>
      <w:r w:rsidR="00BD4FA0" w:rsidRPr="00B74333">
        <w:rPr>
          <w:rFonts w:eastAsia="Calibri" w:cstheme="minorHAnsi"/>
          <w:color w:val="000000"/>
          <w:sz w:val="24"/>
          <w:szCs w:val="24"/>
          <w:lang w:bidi="en-US"/>
        </w:rPr>
        <w:t>08</w:t>
      </w:r>
      <w:r w:rsidR="002737F2" w:rsidRPr="00B74333">
        <w:rPr>
          <w:rFonts w:eastAsia="Calibri" w:cstheme="minorHAnsi"/>
          <w:color w:val="000000"/>
          <w:sz w:val="24"/>
          <w:szCs w:val="24"/>
          <w:lang w:bidi="en-US"/>
        </w:rPr>
        <w:t>.20</w:t>
      </w:r>
      <w:r w:rsidR="00BD4FA0" w:rsidRPr="00B74333">
        <w:rPr>
          <w:rFonts w:eastAsia="Calibri" w:cstheme="minorHAnsi"/>
          <w:color w:val="000000"/>
          <w:sz w:val="24"/>
          <w:szCs w:val="24"/>
          <w:lang w:bidi="en-US"/>
        </w:rPr>
        <w:t>11</w:t>
      </w:r>
      <w:r w:rsidR="002737F2" w:rsidRPr="00B74333">
        <w:rPr>
          <w:rFonts w:eastAsia="Calibri" w:cstheme="minorHAnsi"/>
          <w:color w:val="000000"/>
          <w:sz w:val="24"/>
          <w:szCs w:val="24"/>
          <w:lang w:bidi="en-US"/>
        </w:rPr>
        <w:t xml:space="preserve">) </w:t>
      </w:r>
      <w:r w:rsidR="00C40D2C" w:rsidRPr="00B74333">
        <w:rPr>
          <w:rFonts w:eastAsia="Calibri" w:cstheme="minorHAnsi"/>
          <w:color w:val="000000"/>
          <w:sz w:val="24"/>
          <w:szCs w:val="24"/>
          <w:lang w:bidi="en-US"/>
        </w:rPr>
        <w:t>and in force from time to time.</w:t>
      </w:r>
      <w:r w:rsidR="00C40D2C" w:rsidRPr="00B74333">
        <w:rPr>
          <w:rFonts w:eastAsia="Calibri" w:cstheme="minorHAnsi"/>
          <w:b/>
          <w:bCs/>
          <w:color w:val="000000"/>
          <w:sz w:val="24"/>
          <w:szCs w:val="24"/>
          <w:lang w:bidi="en-US"/>
        </w:rPr>
        <w:t xml:space="preserve"> </w:t>
      </w:r>
    </w:p>
    <w:p w14:paraId="2AE3DBB4" w14:textId="19982B08" w:rsidR="00192F18" w:rsidRPr="00B74333" w:rsidRDefault="00192F18" w:rsidP="00192F18">
      <w:pPr>
        <w:widowControl w:val="0"/>
        <w:spacing w:after="120" w:line="271"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Ten Year Development Plan (or “TYDP”) </w:t>
      </w:r>
      <w:r w:rsidRPr="00B74333">
        <w:rPr>
          <w:rFonts w:eastAsia="Calibri" w:cstheme="minorHAnsi"/>
          <w:color w:val="000000"/>
          <w:sz w:val="24"/>
          <w:szCs w:val="24"/>
          <w:lang w:bidi="en-US"/>
        </w:rPr>
        <w:t xml:space="preserve">shall have the meaning assigned to it in article 1 of the </w:t>
      </w:r>
      <w:r w:rsidR="00201D3F"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Network Code.</w:t>
      </w:r>
    </w:p>
    <w:p w14:paraId="027049BB" w14:textId="26F042C2" w:rsidR="00192F18" w:rsidRPr="00B74333" w:rsidRDefault="00192F18" w:rsidP="00192F18">
      <w:pPr>
        <w:widowControl w:val="0"/>
        <w:spacing w:after="120" w:line="276"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Termination Date </w:t>
      </w:r>
      <w:r w:rsidR="00A26B2D" w:rsidRPr="00B74333">
        <w:rPr>
          <w:rFonts w:eastAsia="Calibri" w:cstheme="minorHAnsi"/>
          <w:color w:val="000000"/>
          <w:sz w:val="24"/>
          <w:szCs w:val="24"/>
          <w:lang w:bidi="en-US"/>
        </w:rPr>
        <w:t xml:space="preserve">shall </w:t>
      </w:r>
      <w:r w:rsidRPr="00B74333">
        <w:rPr>
          <w:rFonts w:eastAsia="Calibri" w:cstheme="minorHAnsi"/>
          <w:color w:val="000000"/>
          <w:sz w:val="24"/>
          <w:szCs w:val="24"/>
          <w:lang w:bidi="en-US"/>
        </w:rPr>
        <w:t>mean the date on which this Agreement expires or terminates as per Article 3.</w:t>
      </w:r>
    </w:p>
    <w:p w14:paraId="28C94D66" w14:textId="7F18F20E" w:rsidR="00192F18" w:rsidRPr="00B74333" w:rsidRDefault="00192F18" w:rsidP="00192F18">
      <w:pPr>
        <w:widowControl w:val="0"/>
        <w:spacing w:after="120" w:line="276"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TFA Guarantee </w:t>
      </w:r>
      <w:r w:rsidR="00A26B2D" w:rsidRPr="00B74333">
        <w:rPr>
          <w:rFonts w:eastAsia="Calibri" w:cstheme="minorHAnsi"/>
          <w:color w:val="000000"/>
          <w:sz w:val="24"/>
          <w:szCs w:val="24"/>
          <w:lang w:bidi="en-US"/>
        </w:rPr>
        <w:t>shall</w:t>
      </w:r>
      <w:r w:rsidR="00A26B2D" w:rsidRPr="00B74333">
        <w:rPr>
          <w:rFonts w:eastAsia="Calibri" w:cstheme="minorHAnsi"/>
          <w:b/>
          <w:bCs/>
          <w:color w:val="000000"/>
          <w:sz w:val="24"/>
          <w:szCs w:val="24"/>
          <w:lang w:bidi="en-US"/>
        </w:rPr>
        <w:t xml:space="preserve"> </w:t>
      </w:r>
      <w:r w:rsidRPr="00B74333">
        <w:rPr>
          <w:rFonts w:eastAsia="Calibri" w:cstheme="minorHAnsi"/>
          <w:color w:val="000000"/>
          <w:sz w:val="24"/>
          <w:szCs w:val="24"/>
          <w:lang w:bidi="en-US"/>
        </w:rPr>
        <w:t xml:space="preserve">mean the guarantee required for the Approved Firm Service Application(s) of Article 2.3 according to the relevant provisions of the </w:t>
      </w:r>
      <w:r w:rsidR="000D533B" w:rsidRPr="00B74333">
        <w:rPr>
          <w:rFonts w:eastAsia="Calibri" w:cstheme="minorHAnsi"/>
          <w:color w:val="000000"/>
          <w:sz w:val="24"/>
          <w:szCs w:val="24"/>
          <w:lang w:bidi="en-US"/>
        </w:rPr>
        <w:t>NNGS Standard Transmission Agreement</w:t>
      </w:r>
      <w:r w:rsidR="000D533B" w:rsidRPr="00B74333" w:rsidDel="000D533B">
        <w:rPr>
          <w:rFonts w:eastAsia="Calibri" w:cstheme="minorHAnsi"/>
          <w:color w:val="000000"/>
          <w:sz w:val="24"/>
          <w:szCs w:val="24"/>
          <w:lang w:bidi="en-US"/>
        </w:rPr>
        <w:t xml:space="preserve"> </w:t>
      </w:r>
      <w:r w:rsidRPr="00B74333">
        <w:rPr>
          <w:rFonts w:eastAsia="Calibri" w:cstheme="minorHAnsi"/>
          <w:color w:val="000000"/>
          <w:sz w:val="24"/>
          <w:szCs w:val="24"/>
          <w:lang w:bidi="en-US"/>
        </w:rPr>
        <w:t xml:space="preserve">and notably article 21H of Chapter 3A of the </w:t>
      </w:r>
      <w:r w:rsidR="00D10E90"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Network Code, whereas the Year of the auction is deemed as the Year which includes the start of the Gas Year within which the COD lies.</w:t>
      </w:r>
    </w:p>
    <w:p w14:paraId="242779F5" w14:textId="71435DC4" w:rsidR="001B5160" w:rsidRPr="00B74333" w:rsidRDefault="00192F18" w:rsidP="00C167F6">
      <w:pPr>
        <w:widowControl w:val="0"/>
        <w:spacing w:after="120" w:line="276" w:lineRule="auto"/>
        <w:jc w:val="both"/>
        <w:rPr>
          <w:rFonts w:eastAsia="Calibri" w:cstheme="minorHAnsi"/>
          <w:b/>
          <w:bCs/>
          <w:color w:val="000000"/>
          <w:sz w:val="24"/>
          <w:szCs w:val="24"/>
          <w:lang w:bidi="en-US"/>
        </w:rPr>
      </w:pPr>
      <w:r w:rsidRPr="00B74333">
        <w:rPr>
          <w:rFonts w:eastAsia="Calibri" w:cstheme="minorHAnsi"/>
          <w:b/>
          <w:bCs/>
          <w:color w:val="000000"/>
          <w:sz w:val="24"/>
          <w:szCs w:val="24"/>
          <w:lang w:bidi="en-US"/>
        </w:rPr>
        <w:t xml:space="preserve">Transmission User </w:t>
      </w:r>
      <w:r w:rsidRPr="00B74333">
        <w:rPr>
          <w:rFonts w:eastAsia="Calibri" w:cstheme="minorHAnsi"/>
          <w:color w:val="000000"/>
          <w:sz w:val="24"/>
          <w:szCs w:val="24"/>
          <w:lang w:bidi="en-US"/>
        </w:rPr>
        <w:t xml:space="preserve">shall have the meaning assigned to it in article 1 of the </w:t>
      </w:r>
      <w:r w:rsidR="00D10E90"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Network Code.</w:t>
      </w:r>
      <w:r w:rsidR="00C167F6" w:rsidRPr="00B74333">
        <w:rPr>
          <w:rFonts w:eastAsia="Calibri" w:cstheme="minorHAnsi"/>
          <w:b/>
          <w:bCs/>
          <w:color w:val="000000"/>
          <w:sz w:val="24"/>
          <w:szCs w:val="24"/>
          <w:lang w:bidi="en-US"/>
        </w:rPr>
        <w:t xml:space="preserve"> </w:t>
      </w:r>
    </w:p>
    <w:p w14:paraId="2AA5BE13" w14:textId="537589C4" w:rsidR="00C167F6" w:rsidRPr="00B74333" w:rsidRDefault="00C167F6" w:rsidP="00C167F6">
      <w:pPr>
        <w:widowControl w:val="0"/>
        <w:spacing w:after="120" w:line="276"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t xml:space="preserve">Transportation Confirmation </w:t>
      </w:r>
      <w:r w:rsidRPr="00B74333">
        <w:rPr>
          <w:rFonts w:eastAsia="Calibri" w:cstheme="minorHAnsi"/>
          <w:color w:val="000000"/>
          <w:sz w:val="24"/>
          <w:szCs w:val="24"/>
          <w:lang w:bidi="en-US"/>
        </w:rPr>
        <w:t>shall mean the formal notification of DESFA to the Company of its Allocated Capacity according to the Economic Viability Test results after the closing of the Bid Submission Window attached in Appendix I.</w:t>
      </w:r>
    </w:p>
    <w:p w14:paraId="4E799C80" w14:textId="30069ACE" w:rsidR="00192F18" w:rsidRPr="00B74333" w:rsidRDefault="00192F18" w:rsidP="0054332D">
      <w:pPr>
        <w:spacing w:after="120" w:line="252" w:lineRule="auto"/>
        <w:jc w:val="both"/>
        <w:rPr>
          <w:rFonts w:eastAsia="Calibri" w:cstheme="minorHAnsi"/>
          <w:color w:val="000000"/>
          <w:sz w:val="24"/>
          <w:szCs w:val="24"/>
          <w:lang w:bidi="en-US"/>
        </w:rPr>
      </w:pPr>
      <w:r w:rsidRPr="00B74333">
        <w:rPr>
          <w:rFonts w:eastAsia="Calibri" w:cstheme="minorHAnsi"/>
          <w:b/>
          <w:bCs/>
          <w:color w:val="000000"/>
          <w:sz w:val="24"/>
          <w:szCs w:val="24"/>
          <w:lang w:bidi="en-US"/>
        </w:rPr>
        <w:lastRenderedPageBreak/>
        <w:t xml:space="preserve">TSO </w:t>
      </w:r>
      <w:r w:rsidR="00A26B2D" w:rsidRPr="00B74333">
        <w:rPr>
          <w:rFonts w:eastAsia="Calibri" w:cstheme="minorHAnsi"/>
          <w:color w:val="000000"/>
          <w:sz w:val="24"/>
          <w:szCs w:val="24"/>
          <w:lang w:bidi="en-US"/>
        </w:rPr>
        <w:t>shall</w:t>
      </w:r>
      <w:r w:rsidR="00A26B2D" w:rsidRPr="00B74333">
        <w:rPr>
          <w:rFonts w:eastAsia="Calibri" w:cstheme="minorHAnsi"/>
          <w:b/>
          <w:bCs/>
          <w:color w:val="000000"/>
          <w:sz w:val="24"/>
          <w:szCs w:val="24"/>
          <w:lang w:bidi="en-US"/>
        </w:rPr>
        <w:t xml:space="preserve"> </w:t>
      </w:r>
      <w:r w:rsidR="00741529" w:rsidRPr="00B74333">
        <w:rPr>
          <w:rFonts w:eastAsia="Arial" w:cstheme="minorHAnsi"/>
          <w:sz w:val="24"/>
          <w:szCs w:val="24"/>
        </w:rPr>
        <w:t>mean Transmission System operator, being BULGARTRANSGAZ, DESFA</w:t>
      </w:r>
      <w:r w:rsidR="00164454" w:rsidRPr="00B74333">
        <w:rPr>
          <w:rFonts w:eastAsia="Arial" w:cstheme="minorHAnsi"/>
          <w:sz w:val="24"/>
          <w:szCs w:val="24"/>
        </w:rPr>
        <w:t xml:space="preserve"> and</w:t>
      </w:r>
      <w:r w:rsidR="00741529" w:rsidRPr="00B74333">
        <w:rPr>
          <w:rFonts w:eastAsia="Arial" w:cstheme="minorHAnsi"/>
          <w:sz w:val="24"/>
          <w:szCs w:val="24"/>
        </w:rPr>
        <w:t xml:space="preserve"> ICGB (as relevant).</w:t>
      </w:r>
    </w:p>
    <w:p w14:paraId="5BCB74D8" w14:textId="403DE309" w:rsidR="002141E1" w:rsidRPr="00B74333" w:rsidRDefault="002141E1" w:rsidP="0054332D">
      <w:pPr>
        <w:pStyle w:val="CommentText"/>
        <w:widowControl w:val="0"/>
        <w:suppressAutoHyphens/>
        <w:spacing w:after="120" w:line="252" w:lineRule="auto"/>
        <w:jc w:val="both"/>
        <w:rPr>
          <w:rFonts w:cstheme="minorHAnsi"/>
          <w:sz w:val="24"/>
          <w:szCs w:val="24"/>
          <w:lang w:val="en-US"/>
        </w:rPr>
      </w:pPr>
      <w:r w:rsidRPr="00B74333">
        <w:rPr>
          <w:rFonts w:cstheme="minorHAnsi"/>
          <w:b/>
          <w:sz w:val="24"/>
          <w:szCs w:val="24"/>
          <w:lang w:val="en-US"/>
        </w:rPr>
        <w:t xml:space="preserve">TSOs Concerned </w:t>
      </w:r>
      <w:r w:rsidR="00A26B2D" w:rsidRPr="00B74333">
        <w:rPr>
          <w:rFonts w:cstheme="minorHAnsi"/>
          <w:sz w:val="24"/>
          <w:szCs w:val="24"/>
          <w:lang w:val="en-US"/>
        </w:rPr>
        <w:t>shall</w:t>
      </w:r>
      <w:r w:rsidR="00A26B2D" w:rsidRPr="00B74333">
        <w:rPr>
          <w:rFonts w:cstheme="minorHAnsi"/>
          <w:b/>
          <w:sz w:val="24"/>
          <w:szCs w:val="24"/>
          <w:lang w:val="en-US"/>
        </w:rPr>
        <w:t xml:space="preserve"> </w:t>
      </w:r>
      <w:r w:rsidRPr="00B74333">
        <w:rPr>
          <w:rFonts w:cstheme="minorHAnsi"/>
          <w:sz w:val="24"/>
          <w:szCs w:val="24"/>
          <w:lang w:val="en-US"/>
        </w:rPr>
        <w:t>mean DESFA and ICGB for the Komotini IP, DESFA and BULGARTRANSGAZ for the Kulata/Sidirokastro IP, and DESFA only for the other IPs and Entry Points of DESFA System.</w:t>
      </w:r>
    </w:p>
    <w:p w14:paraId="5648B739" w14:textId="77777777" w:rsidR="002141E1" w:rsidRPr="00B74333" w:rsidRDefault="002141E1" w:rsidP="00192F18">
      <w:pPr>
        <w:widowControl w:val="0"/>
        <w:spacing w:after="120" w:line="271" w:lineRule="auto"/>
        <w:jc w:val="both"/>
        <w:rPr>
          <w:rFonts w:eastAsia="Calibri" w:cstheme="minorHAnsi"/>
          <w:color w:val="000000"/>
          <w:sz w:val="24"/>
          <w:szCs w:val="24"/>
          <w:lang w:bidi="en-US"/>
        </w:rPr>
      </w:pPr>
    </w:p>
    <w:p w14:paraId="2A75BFA8" w14:textId="77777777" w:rsidR="00192F18" w:rsidRPr="00B74333" w:rsidRDefault="00192F18">
      <w:pPr>
        <w:keepNext/>
        <w:keepLines/>
        <w:widowControl w:val="0"/>
        <w:numPr>
          <w:ilvl w:val="1"/>
          <w:numId w:val="43"/>
        </w:numPr>
        <w:spacing w:after="120" w:line="271" w:lineRule="auto"/>
        <w:jc w:val="both"/>
        <w:outlineLvl w:val="3"/>
        <w:rPr>
          <w:rFonts w:eastAsia="Calibri" w:cstheme="minorHAnsi"/>
          <w:color w:val="000000"/>
          <w:sz w:val="24"/>
          <w:szCs w:val="24"/>
          <w:lang w:bidi="en-US"/>
        </w:rPr>
      </w:pPr>
      <w:bookmarkStart w:id="98" w:name="bookmark32"/>
      <w:r w:rsidRPr="00B74333">
        <w:rPr>
          <w:rFonts w:eastAsia="Calibri" w:cstheme="minorHAnsi"/>
          <w:color w:val="000000"/>
          <w:sz w:val="24"/>
          <w:szCs w:val="24"/>
          <w:lang w:bidi="en-US"/>
        </w:rPr>
        <w:t>Interpretation and references</w:t>
      </w:r>
      <w:bookmarkEnd w:id="98"/>
    </w:p>
    <w:p w14:paraId="02464BC1" w14:textId="77777777" w:rsidR="00192F18" w:rsidRPr="00B74333" w:rsidRDefault="00192F18">
      <w:pPr>
        <w:widowControl w:val="0"/>
        <w:numPr>
          <w:ilvl w:val="2"/>
          <w:numId w:val="43"/>
        </w:numPr>
        <w:tabs>
          <w:tab w:val="left" w:pos="715"/>
        </w:tabs>
        <w:spacing w:after="120" w:line="26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In this Agreement, except where the context requires otherwise:</w:t>
      </w:r>
    </w:p>
    <w:p w14:paraId="5DD4D5AC" w14:textId="77777777" w:rsidR="00192F18" w:rsidRPr="00B74333" w:rsidRDefault="00192F18">
      <w:pPr>
        <w:widowControl w:val="0"/>
        <w:numPr>
          <w:ilvl w:val="0"/>
          <w:numId w:val="44"/>
        </w:numPr>
        <w:tabs>
          <w:tab w:val="left" w:pos="715"/>
        </w:tabs>
        <w:spacing w:after="120" w:line="26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words indicating one gender include all </w:t>
      </w:r>
      <w:proofErr w:type="gramStart"/>
      <w:r w:rsidRPr="00B74333">
        <w:rPr>
          <w:rFonts w:eastAsia="Calibri" w:cstheme="minorHAnsi"/>
          <w:color w:val="000000"/>
          <w:sz w:val="24"/>
          <w:szCs w:val="24"/>
          <w:lang w:bidi="en-US"/>
        </w:rPr>
        <w:t>genders;</w:t>
      </w:r>
      <w:proofErr w:type="gramEnd"/>
    </w:p>
    <w:p w14:paraId="491607EB" w14:textId="77777777" w:rsidR="00192F18" w:rsidRPr="00B74333"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words indicating the singular also include the plural and words indicating the plural also include the </w:t>
      </w:r>
      <w:proofErr w:type="gramStart"/>
      <w:r w:rsidRPr="00B74333">
        <w:rPr>
          <w:rFonts w:eastAsia="Calibri" w:cstheme="minorHAnsi"/>
          <w:color w:val="000000"/>
          <w:sz w:val="24"/>
          <w:szCs w:val="24"/>
          <w:lang w:bidi="en-US"/>
        </w:rPr>
        <w:t>singular;</w:t>
      </w:r>
      <w:proofErr w:type="gramEnd"/>
    </w:p>
    <w:p w14:paraId="6D3AAA72" w14:textId="088F1BF7" w:rsidR="00192F18" w:rsidRPr="00B74333"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terms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including</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and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in particular</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in this Agreement shall be read and understood as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including, but not limited to</w:t>
      </w:r>
      <w:proofErr w:type="gramStart"/>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w:t>
      </w:r>
      <w:proofErr w:type="gramEnd"/>
    </w:p>
    <w:p w14:paraId="7EA9BCB7" w14:textId="21E68716" w:rsidR="00192F18" w:rsidRPr="00B74333"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provisions including the word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agree</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agreed</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or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agreement</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or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approved</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or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approval</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or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consent</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or </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consented</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require the agreement or approval to be recorded in writing; and</w:t>
      </w:r>
    </w:p>
    <w:p w14:paraId="50B9A87F" w14:textId="1B5B74CC" w:rsidR="00192F18" w:rsidRPr="00B74333" w:rsidRDefault="00F8269F">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written</w:t>
      </w:r>
      <w:r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written form</w:t>
      </w:r>
      <w:r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 xml:space="preserve"> or </w:t>
      </w:r>
      <w:r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in writing</w:t>
      </w:r>
      <w:r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 xml:space="preserve"> means hand-written, type-written, </w:t>
      </w:r>
      <w:proofErr w:type="gramStart"/>
      <w:r w:rsidR="00192F18" w:rsidRPr="00B74333">
        <w:rPr>
          <w:rFonts w:eastAsia="Calibri" w:cstheme="minorHAnsi"/>
          <w:color w:val="000000"/>
          <w:sz w:val="24"/>
          <w:szCs w:val="24"/>
          <w:lang w:bidi="en-US"/>
        </w:rPr>
        <w:t>printed</w:t>
      </w:r>
      <w:proofErr w:type="gramEnd"/>
      <w:r w:rsidR="00192F18" w:rsidRPr="00B74333">
        <w:rPr>
          <w:rFonts w:eastAsia="Calibri" w:cstheme="minorHAnsi"/>
          <w:color w:val="000000"/>
          <w:sz w:val="24"/>
          <w:szCs w:val="24"/>
          <w:lang w:bidi="en-US"/>
        </w:rPr>
        <w:t xml:space="preserve"> or electronically made including emails and facsimiles, unless specifically provided otherwise in this Agreement.</w:t>
      </w:r>
    </w:p>
    <w:p w14:paraId="7D81FF40" w14:textId="77777777" w:rsidR="00192F18" w:rsidRPr="00B74333" w:rsidRDefault="00192F18">
      <w:pPr>
        <w:widowControl w:val="0"/>
        <w:numPr>
          <w:ilvl w:val="0"/>
          <w:numId w:val="44"/>
        </w:numPr>
        <w:tabs>
          <w:tab w:val="left" w:pos="715"/>
        </w:tabs>
        <w:spacing w:after="0" w:line="26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marginal words and other headlines shall not be taken into consideration in</w:t>
      </w:r>
    </w:p>
    <w:p w14:paraId="7F2A48C3" w14:textId="77777777" w:rsidR="00192F18" w:rsidRPr="00B74333" w:rsidRDefault="00192F18" w:rsidP="00192F18">
      <w:pPr>
        <w:widowControl w:val="0"/>
        <w:spacing w:after="120" w:line="26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interpretation of this Agreement.</w:t>
      </w:r>
    </w:p>
    <w:p w14:paraId="14364D44" w14:textId="6CA25FFE" w:rsidR="00192F18" w:rsidRPr="00B74333"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References in this Agreement to Articles and </w:t>
      </w:r>
      <w:r w:rsidR="00E94C11" w:rsidRPr="00B74333">
        <w:rPr>
          <w:rFonts w:eastAsia="Calibri" w:cstheme="minorHAnsi"/>
          <w:color w:val="000000"/>
          <w:sz w:val="24"/>
          <w:szCs w:val="24"/>
          <w:lang w:bidi="en-US"/>
        </w:rPr>
        <w:t xml:space="preserve">Appendices </w:t>
      </w:r>
      <w:r w:rsidRPr="00B74333">
        <w:rPr>
          <w:rFonts w:eastAsia="Calibri" w:cstheme="minorHAnsi"/>
          <w:color w:val="000000"/>
          <w:sz w:val="24"/>
          <w:szCs w:val="24"/>
          <w:lang w:bidi="en-US"/>
        </w:rPr>
        <w:t xml:space="preserve">are to Articles and </w:t>
      </w:r>
      <w:r w:rsidR="00E94C11" w:rsidRPr="00B74333">
        <w:rPr>
          <w:rFonts w:eastAsia="Calibri" w:cstheme="minorHAnsi"/>
          <w:color w:val="000000"/>
          <w:sz w:val="24"/>
          <w:szCs w:val="24"/>
          <w:lang w:bidi="en-US"/>
        </w:rPr>
        <w:t xml:space="preserve">Appendices </w:t>
      </w:r>
      <w:r w:rsidRPr="00B74333">
        <w:rPr>
          <w:rFonts w:eastAsia="Calibri" w:cstheme="minorHAnsi"/>
          <w:color w:val="000000"/>
          <w:sz w:val="24"/>
          <w:szCs w:val="24"/>
          <w:lang w:bidi="en-US"/>
        </w:rPr>
        <w:t>of this Agreement.</w:t>
      </w:r>
    </w:p>
    <w:p w14:paraId="023ED6E4" w14:textId="77777777" w:rsidR="00192F18" w:rsidRPr="00B74333" w:rsidRDefault="00192F18">
      <w:pPr>
        <w:widowControl w:val="0"/>
        <w:numPr>
          <w:ilvl w:val="0"/>
          <w:numId w:val="44"/>
        </w:numPr>
        <w:tabs>
          <w:tab w:val="left" w:pos="715"/>
        </w:tabs>
        <w:spacing w:after="1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References to Natural Gas by quantity, mean a reference to the amount of Natural Gas in energy in kWh.</w:t>
      </w:r>
    </w:p>
    <w:p w14:paraId="3FC68A3F" w14:textId="2C498132" w:rsidR="00192F18" w:rsidRPr="00B74333" w:rsidRDefault="00192F18">
      <w:pPr>
        <w:widowControl w:val="0"/>
        <w:numPr>
          <w:ilvl w:val="2"/>
          <w:numId w:val="43"/>
        </w:numPr>
        <w:tabs>
          <w:tab w:val="left" w:pos="715"/>
        </w:tabs>
        <w:spacing w:after="120" w:line="26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w:t>
      </w:r>
      <w:r w:rsidR="00E94C11" w:rsidRPr="00B74333">
        <w:rPr>
          <w:rFonts w:eastAsia="Calibri" w:cstheme="minorHAnsi"/>
          <w:color w:val="000000"/>
          <w:sz w:val="24"/>
          <w:szCs w:val="24"/>
          <w:lang w:bidi="en-US"/>
        </w:rPr>
        <w:t xml:space="preserve">Appendices </w:t>
      </w:r>
      <w:r w:rsidRPr="00B74333">
        <w:rPr>
          <w:rFonts w:eastAsia="Calibri" w:cstheme="minorHAnsi"/>
          <w:color w:val="000000"/>
          <w:sz w:val="24"/>
          <w:szCs w:val="24"/>
          <w:lang w:bidi="en-US"/>
        </w:rPr>
        <w:t>constitute an integral part of this Agreement.</w:t>
      </w:r>
    </w:p>
    <w:p w14:paraId="3EB26D2E" w14:textId="59BBDDDD" w:rsidR="00192F18" w:rsidRPr="00B74333" w:rsidRDefault="00192F18">
      <w:pPr>
        <w:widowControl w:val="0"/>
        <w:numPr>
          <w:ilvl w:val="2"/>
          <w:numId w:val="43"/>
        </w:numPr>
        <w:tabs>
          <w:tab w:val="left" w:pos="709"/>
        </w:tabs>
        <w:spacing w:after="62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Agreement is made up of the body </w:t>
      </w:r>
      <w:r w:rsidR="00522B5F" w:rsidRPr="00B74333">
        <w:rPr>
          <w:rFonts w:eastAsia="Calibri" w:cstheme="minorHAnsi"/>
          <w:color w:val="000000"/>
          <w:sz w:val="24"/>
          <w:szCs w:val="24"/>
          <w:lang w:bidi="en-US"/>
        </w:rPr>
        <w:t xml:space="preserve">of </w:t>
      </w:r>
      <w:r w:rsidRPr="00B74333">
        <w:rPr>
          <w:rFonts w:eastAsia="Calibri" w:cstheme="minorHAnsi"/>
          <w:color w:val="000000"/>
          <w:sz w:val="24"/>
          <w:szCs w:val="24"/>
          <w:lang w:bidi="en-US"/>
        </w:rPr>
        <w:t xml:space="preserve">this Agreement and its </w:t>
      </w:r>
      <w:r w:rsidR="00E94C11" w:rsidRPr="00B74333">
        <w:rPr>
          <w:rFonts w:eastAsia="Calibri" w:cstheme="minorHAnsi"/>
          <w:color w:val="000000"/>
          <w:sz w:val="24"/>
          <w:szCs w:val="24"/>
          <w:lang w:bidi="en-US"/>
        </w:rPr>
        <w:t>Appendices</w:t>
      </w:r>
      <w:r w:rsidRPr="00B74333">
        <w:rPr>
          <w:rFonts w:eastAsia="Calibri" w:cstheme="minorHAnsi"/>
          <w:color w:val="000000"/>
          <w:sz w:val="24"/>
          <w:szCs w:val="24"/>
          <w:lang w:bidi="en-US"/>
        </w:rPr>
        <w:t xml:space="preserve">. In the event of any conflict or inconsistency between anything in the body of this Agreement and the </w:t>
      </w:r>
      <w:r w:rsidR="00E94C11" w:rsidRPr="00B74333">
        <w:rPr>
          <w:rFonts w:eastAsia="Calibri" w:cstheme="minorHAnsi"/>
          <w:color w:val="000000"/>
          <w:sz w:val="24"/>
          <w:szCs w:val="24"/>
          <w:lang w:bidi="en-US"/>
        </w:rPr>
        <w:t>Appendices</w:t>
      </w:r>
      <w:r w:rsidRPr="00B74333">
        <w:rPr>
          <w:rFonts w:eastAsia="Calibri" w:cstheme="minorHAnsi"/>
          <w:color w:val="000000"/>
          <w:sz w:val="24"/>
          <w:szCs w:val="24"/>
          <w:lang w:bidi="en-US"/>
        </w:rPr>
        <w:t>, the body of this Agreement prevails to the extent of the inconsistency.</w:t>
      </w:r>
    </w:p>
    <w:p w14:paraId="5E134378" w14:textId="77777777" w:rsidR="00192F18" w:rsidRPr="00B74333" w:rsidRDefault="00192F18">
      <w:pPr>
        <w:keepNext/>
        <w:keepLines/>
        <w:widowControl w:val="0"/>
        <w:numPr>
          <w:ilvl w:val="0"/>
          <w:numId w:val="42"/>
        </w:numPr>
        <w:tabs>
          <w:tab w:val="left" w:pos="956"/>
        </w:tabs>
        <w:spacing w:after="80" w:line="254" w:lineRule="auto"/>
        <w:jc w:val="center"/>
        <w:outlineLvl w:val="3"/>
        <w:rPr>
          <w:rFonts w:eastAsia="Calibri" w:cstheme="minorHAnsi"/>
          <w:b/>
          <w:color w:val="000000"/>
          <w:sz w:val="24"/>
          <w:szCs w:val="24"/>
          <w:lang w:bidi="en-US"/>
        </w:rPr>
      </w:pPr>
      <w:bookmarkStart w:id="99" w:name="bookmark34"/>
      <w:r w:rsidRPr="00B74333">
        <w:rPr>
          <w:rFonts w:eastAsia="Calibri" w:cstheme="minorHAnsi"/>
          <w:b/>
          <w:color w:val="000000"/>
          <w:sz w:val="24"/>
          <w:szCs w:val="24"/>
          <w:lang w:bidi="en-US"/>
        </w:rPr>
        <w:t>Scope of the Agreement and Obligations of the Parties</w:t>
      </w:r>
      <w:bookmarkEnd w:id="99"/>
    </w:p>
    <w:p w14:paraId="2410308E" w14:textId="6DB6A2CE" w:rsidR="00192F18" w:rsidRPr="00B74333" w:rsidRDefault="00192F18">
      <w:pPr>
        <w:widowControl w:val="0"/>
        <w:numPr>
          <w:ilvl w:val="1"/>
          <w:numId w:val="45"/>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Following the positive outcome of the Binding Bidding Phase and of the EVT for the incremental capacity offered at</w:t>
      </w:r>
      <w:r w:rsidR="008402F4" w:rsidRPr="00B74333">
        <w:rPr>
          <w:rFonts w:eastAsia="Calibri" w:cstheme="minorHAnsi"/>
          <w:color w:val="000000"/>
          <w:sz w:val="24"/>
          <w:szCs w:val="24"/>
          <w:lang w:bidi="en-US"/>
        </w:rPr>
        <w:t xml:space="preserve"> </w:t>
      </w:r>
      <w:r w:rsidR="00C47902" w:rsidRPr="00B74333">
        <w:rPr>
          <w:rFonts w:cstheme="minorHAnsi"/>
          <w:sz w:val="24"/>
          <w:szCs w:val="24"/>
        </w:rPr>
        <w:t>DESFA’s side of the IPs and Entry Points</w:t>
      </w:r>
      <w:r w:rsidRPr="00B74333">
        <w:rPr>
          <w:rFonts w:eastAsia="Calibri" w:cstheme="minorHAnsi"/>
          <w:color w:val="000000"/>
          <w:sz w:val="28"/>
          <w:szCs w:val="28"/>
          <w:lang w:bidi="en-US"/>
        </w:rPr>
        <w:t xml:space="preserve"> </w:t>
      </w:r>
      <w:r w:rsidRPr="00B74333">
        <w:rPr>
          <w:rFonts w:eastAsia="Calibri" w:cstheme="minorHAnsi"/>
          <w:color w:val="000000"/>
          <w:sz w:val="24"/>
          <w:szCs w:val="24"/>
          <w:lang w:bidi="en-US"/>
        </w:rPr>
        <w:t>according to the</w:t>
      </w:r>
      <w:r w:rsidR="008402F4" w:rsidRPr="00B74333">
        <w:rPr>
          <w:rFonts w:eastAsia="Calibri" w:cstheme="minorHAnsi"/>
          <w:color w:val="000000"/>
          <w:sz w:val="24"/>
          <w:szCs w:val="24"/>
          <w:lang w:bidi="en-US"/>
        </w:rPr>
        <w:t xml:space="preserve"> Guidelines and the</w:t>
      </w:r>
      <w:r w:rsidRPr="00B74333">
        <w:rPr>
          <w:rFonts w:eastAsia="Calibri" w:cstheme="minorHAnsi"/>
          <w:color w:val="000000"/>
          <w:sz w:val="24"/>
          <w:szCs w:val="24"/>
          <w:lang w:bidi="en-US"/>
        </w:rPr>
        <w:t xml:space="preserve"> Project Proposal</w:t>
      </w:r>
      <w:r w:rsidR="008402F4" w:rsidRPr="00B74333">
        <w:rPr>
          <w:rFonts w:eastAsia="Calibri" w:cstheme="minorHAnsi"/>
          <w:color w:val="000000"/>
          <w:sz w:val="24"/>
          <w:szCs w:val="24"/>
          <w:lang w:bidi="en-US"/>
        </w:rPr>
        <w:t>s</w:t>
      </w:r>
      <w:r w:rsidRPr="00B74333">
        <w:rPr>
          <w:rFonts w:eastAsia="Calibri" w:cstheme="minorHAnsi"/>
          <w:color w:val="000000"/>
          <w:sz w:val="24"/>
          <w:szCs w:val="24"/>
          <w:lang w:bidi="en-US"/>
        </w:rPr>
        <w:t>, the Parties with this Agreement undertake:</w:t>
      </w:r>
    </w:p>
    <w:p w14:paraId="1C2388E3" w14:textId="6B5C6BA4" w:rsidR="00192F18" w:rsidRPr="00B74333" w:rsidRDefault="00192F18">
      <w:pPr>
        <w:widowControl w:val="0"/>
        <w:numPr>
          <w:ilvl w:val="0"/>
          <w:numId w:val="46"/>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lastRenderedPageBreak/>
        <w:t xml:space="preserve">DESFA to make available the Allocated Capacity at </w:t>
      </w:r>
      <w:r w:rsidR="00C430DA" w:rsidRPr="00B74333">
        <w:rPr>
          <w:rStyle w:val="cf01"/>
          <w:rFonts w:asciiTheme="minorHAnsi" w:hAnsiTheme="minorHAnsi" w:cstheme="minorHAnsi"/>
          <w:sz w:val="24"/>
          <w:szCs w:val="24"/>
        </w:rPr>
        <w:t>[</w:t>
      </w:r>
      <w:r w:rsidR="00C430DA" w:rsidRPr="00B74333">
        <w:rPr>
          <w:rStyle w:val="cf11"/>
          <w:rFonts w:asciiTheme="minorHAnsi" w:hAnsiTheme="minorHAnsi" w:cstheme="minorHAnsi"/>
          <w:sz w:val="24"/>
          <w:szCs w:val="24"/>
        </w:rPr>
        <w:t>choose</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among</w:t>
      </w:r>
      <w:r w:rsidR="00C430DA" w:rsidRPr="00B74333">
        <w:rPr>
          <w:rStyle w:val="cf01"/>
          <w:rFonts w:asciiTheme="minorHAnsi" w:hAnsiTheme="minorHAnsi" w:cstheme="minorHAnsi"/>
          <w:sz w:val="24"/>
          <w:szCs w:val="24"/>
        </w:rPr>
        <w:t xml:space="preserve"> (i) to (</w:t>
      </w:r>
      <w:r w:rsidR="00C430DA" w:rsidRPr="00B74333">
        <w:rPr>
          <w:rStyle w:val="cf11"/>
          <w:rFonts w:asciiTheme="minorHAnsi" w:hAnsiTheme="minorHAnsi" w:cstheme="minorHAnsi"/>
          <w:sz w:val="24"/>
          <w:szCs w:val="24"/>
        </w:rPr>
        <w:t>ix</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as</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appropriate</w:t>
      </w:r>
      <w:r w:rsidR="00C430DA" w:rsidRPr="00B74333">
        <w:rPr>
          <w:rStyle w:val="cf01"/>
          <w:rFonts w:asciiTheme="minorHAnsi" w:hAnsiTheme="minorHAnsi" w:cstheme="minorHAnsi"/>
          <w:sz w:val="24"/>
          <w:szCs w:val="24"/>
        </w:rPr>
        <w:t xml:space="preserve"> and </w:t>
      </w:r>
      <w:r w:rsidR="00C430DA" w:rsidRPr="00B74333">
        <w:rPr>
          <w:rStyle w:val="cf11"/>
          <w:rFonts w:asciiTheme="minorHAnsi" w:hAnsiTheme="minorHAnsi" w:cstheme="minorHAnsi"/>
          <w:sz w:val="24"/>
          <w:szCs w:val="24"/>
        </w:rPr>
        <w:t>delete</w:t>
      </w:r>
      <w:r w:rsidR="00C430DA" w:rsidRPr="00B74333">
        <w:rPr>
          <w:rStyle w:val="cf01"/>
          <w:rFonts w:asciiTheme="minorHAnsi" w:hAnsiTheme="minorHAnsi" w:cstheme="minorHAnsi"/>
          <w:sz w:val="24"/>
          <w:szCs w:val="24"/>
        </w:rPr>
        <w:t xml:space="preserve"> the </w:t>
      </w:r>
      <w:r w:rsidR="00C430DA" w:rsidRPr="00B74333">
        <w:rPr>
          <w:rStyle w:val="cf11"/>
          <w:rFonts w:asciiTheme="minorHAnsi" w:hAnsiTheme="minorHAnsi" w:cstheme="minorHAnsi"/>
          <w:sz w:val="24"/>
          <w:szCs w:val="24"/>
        </w:rPr>
        <w:t>remaining</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cases</w:t>
      </w:r>
      <w:r w:rsidR="00C430DA" w:rsidRPr="00B74333">
        <w:rPr>
          <w:rStyle w:val="cf01"/>
          <w:rFonts w:asciiTheme="minorHAnsi" w:hAnsiTheme="minorHAnsi" w:cstheme="minorHAnsi"/>
          <w:sz w:val="24"/>
          <w:szCs w:val="24"/>
        </w:rPr>
        <w:t xml:space="preserve">: (i) </w:t>
      </w:r>
      <w:proofErr w:type="spellStart"/>
      <w:r w:rsidR="00C430DA" w:rsidRPr="00B74333">
        <w:rPr>
          <w:rStyle w:val="cf01"/>
          <w:rFonts w:asciiTheme="minorHAnsi" w:hAnsiTheme="minorHAnsi" w:cstheme="minorHAnsi"/>
          <w:sz w:val="24"/>
          <w:szCs w:val="24"/>
        </w:rPr>
        <w:t>Kulata</w:t>
      </w:r>
      <w:proofErr w:type="spellEnd"/>
      <w:r w:rsidR="00C430DA" w:rsidRPr="00B74333">
        <w:rPr>
          <w:rStyle w:val="cf01"/>
          <w:rFonts w:asciiTheme="minorHAnsi" w:hAnsiTheme="minorHAnsi" w:cstheme="minorHAnsi"/>
          <w:sz w:val="24"/>
          <w:szCs w:val="24"/>
        </w:rPr>
        <w:t>/</w:t>
      </w:r>
      <w:proofErr w:type="spellStart"/>
      <w:r w:rsidR="00C430DA" w:rsidRPr="00B74333">
        <w:rPr>
          <w:rStyle w:val="cf01"/>
          <w:rFonts w:asciiTheme="minorHAnsi" w:hAnsiTheme="minorHAnsi" w:cstheme="minorHAnsi"/>
          <w:sz w:val="24"/>
          <w:szCs w:val="24"/>
        </w:rPr>
        <w:t>Sidirokastro</w:t>
      </w:r>
      <w:proofErr w:type="spellEnd"/>
      <w:r w:rsidR="00C430DA" w:rsidRPr="00B74333">
        <w:rPr>
          <w:rStyle w:val="cf01"/>
          <w:rFonts w:asciiTheme="minorHAnsi" w:hAnsiTheme="minorHAnsi" w:cstheme="minorHAnsi"/>
          <w:sz w:val="24"/>
          <w:szCs w:val="24"/>
        </w:rPr>
        <w:t xml:space="preserve"> IP (</w:t>
      </w:r>
      <w:r w:rsidR="00C430DA" w:rsidRPr="00B74333">
        <w:rPr>
          <w:rStyle w:val="cf11"/>
          <w:rFonts w:asciiTheme="minorHAnsi" w:hAnsiTheme="minorHAnsi" w:cstheme="minorHAnsi"/>
          <w:sz w:val="24"/>
          <w:szCs w:val="24"/>
        </w:rPr>
        <w:t>Exit</w:t>
      </w:r>
      <w:r w:rsidR="00C430DA" w:rsidRPr="00B74333">
        <w:rPr>
          <w:rStyle w:val="cf01"/>
          <w:rFonts w:asciiTheme="minorHAnsi" w:hAnsiTheme="minorHAnsi" w:cstheme="minorHAnsi"/>
          <w:sz w:val="24"/>
          <w:szCs w:val="24"/>
        </w:rPr>
        <w:t xml:space="preserve"> DESFA), (</w:t>
      </w:r>
      <w:r w:rsidR="00C430DA" w:rsidRPr="00B74333">
        <w:rPr>
          <w:rStyle w:val="cf11"/>
          <w:rFonts w:asciiTheme="minorHAnsi" w:hAnsiTheme="minorHAnsi" w:cstheme="minorHAnsi"/>
          <w:sz w:val="24"/>
          <w:szCs w:val="24"/>
        </w:rPr>
        <w:t>ii</w:t>
      </w:r>
      <w:r w:rsidR="00C430DA" w:rsidRPr="00B74333">
        <w:rPr>
          <w:rStyle w:val="cf01"/>
          <w:rFonts w:asciiTheme="minorHAnsi" w:hAnsiTheme="minorHAnsi" w:cstheme="minorHAnsi"/>
          <w:sz w:val="24"/>
          <w:szCs w:val="24"/>
        </w:rPr>
        <w:t>) Komotini IP (</w:t>
      </w:r>
      <w:r w:rsidR="00C430DA" w:rsidRPr="00B74333">
        <w:rPr>
          <w:rStyle w:val="cf11"/>
          <w:rFonts w:asciiTheme="minorHAnsi" w:hAnsiTheme="minorHAnsi" w:cstheme="minorHAnsi"/>
          <w:sz w:val="24"/>
          <w:szCs w:val="24"/>
        </w:rPr>
        <w:t>Exit</w:t>
      </w:r>
      <w:r w:rsidR="00C430DA" w:rsidRPr="00B74333">
        <w:rPr>
          <w:rStyle w:val="cf01"/>
          <w:rFonts w:asciiTheme="minorHAnsi" w:hAnsiTheme="minorHAnsi" w:cstheme="minorHAnsi"/>
          <w:sz w:val="24"/>
          <w:szCs w:val="24"/>
        </w:rPr>
        <w:t xml:space="preserve"> DESFA), (</w:t>
      </w:r>
      <w:r w:rsidR="00C430DA" w:rsidRPr="00B74333">
        <w:rPr>
          <w:rStyle w:val="cf11"/>
          <w:rFonts w:asciiTheme="minorHAnsi" w:hAnsiTheme="minorHAnsi" w:cstheme="minorHAnsi"/>
          <w:sz w:val="24"/>
          <w:szCs w:val="24"/>
        </w:rPr>
        <w:t>iii</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Nea</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Messimvria IP</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Exit</w:t>
      </w:r>
      <w:r w:rsidR="00C430DA" w:rsidRPr="00B74333">
        <w:rPr>
          <w:rStyle w:val="cf01"/>
          <w:rFonts w:asciiTheme="minorHAnsi" w:hAnsiTheme="minorHAnsi" w:cstheme="minorHAnsi"/>
          <w:sz w:val="24"/>
          <w:szCs w:val="24"/>
        </w:rPr>
        <w:t xml:space="preserve"> DESFA), (</w:t>
      </w:r>
      <w:r w:rsidR="00C430DA" w:rsidRPr="00B74333">
        <w:rPr>
          <w:rStyle w:val="cf11"/>
          <w:rFonts w:asciiTheme="minorHAnsi" w:hAnsiTheme="minorHAnsi" w:cstheme="minorHAnsi"/>
          <w:sz w:val="24"/>
          <w:szCs w:val="24"/>
        </w:rPr>
        <w:t>iv</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Nea</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Messimvria IP</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Entry</w:t>
      </w:r>
      <w:r w:rsidR="00C430DA" w:rsidRPr="00B74333">
        <w:rPr>
          <w:rStyle w:val="cf01"/>
          <w:rFonts w:asciiTheme="minorHAnsi" w:hAnsiTheme="minorHAnsi" w:cstheme="minorHAnsi"/>
          <w:sz w:val="24"/>
          <w:szCs w:val="24"/>
        </w:rPr>
        <w:t xml:space="preserve"> DESFA), (v) Amfitriti entry point </w:t>
      </w:r>
      <w:r w:rsidR="00C430DA" w:rsidRPr="00B74333">
        <w:rPr>
          <w:rStyle w:val="cf11"/>
          <w:rFonts w:asciiTheme="minorHAnsi" w:hAnsiTheme="minorHAnsi" w:cstheme="minorHAnsi"/>
          <w:sz w:val="24"/>
          <w:szCs w:val="24"/>
        </w:rPr>
        <w:t>(Entry</w:t>
      </w:r>
      <w:r w:rsidR="00C430DA" w:rsidRPr="00B74333">
        <w:rPr>
          <w:rStyle w:val="cf01"/>
          <w:rFonts w:asciiTheme="minorHAnsi" w:hAnsiTheme="minorHAnsi" w:cstheme="minorHAnsi"/>
          <w:sz w:val="24"/>
          <w:szCs w:val="24"/>
        </w:rPr>
        <w:t xml:space="preserve"> DESFA), (</w:t>
      </w:r>
      <w:r w:rsidR="00C430DA" w:rsidRPr="00B74333">
        <w:rPr>
          <w:rStyle w:val="cf11"/>
          <w:rFonts w:asciiTheme="minorHAnsi" w:hAnsiTheme="minorHAnsi" w:cstheme="minorHAnsi"/>
          <w:sz w:val="24"/>
          <w:szCs w:val="24"/>
        </w:rPr>
        <w:t>vi</w:t>
      </w:r>
      <w:r w:rsidR="00C430DA" w:rsidRPr="00B74333">
        <w:rPr>
          <w:rStyle w:val="cf01"/>
          <w:rFonts w:asciiTheme="minorHAnsi" w:hAnsiTheme="minorHAnsi" w:cstheme="minorHAnsi"/>
          <w:sz w:val="24"/>
          <w:szCs w:val="24"/>
        </w:rPr>
        <w:t xml:space="preserve">) </w:t>
      </w:r>
      <w:r w:rsidR="00C430DA" w:rsidRPr="00B74333">
        <w:rPr>
          <w:rStyle w:val="cf11"/>
          <w:rFonts w:asciiTheme="minorHAnsi" w:hAnsiTheme="minorHAnsi" w:cstheme="minorHAnsi"/>
          <w:sz w:val="24"/>
          <w:szCs w:val="24"/>
        </w:rPr>
        <w:t>Kipi IP (Entry</w:t>
      </w:r>
      <w:r w:rsidR="00C430DA" w:rsidRPr="00B74333">
        <w:rPr>
          <w:rStyle w:val="cf01"/>
          <w:rFonts w:asciiTheme="minorHAnsi" w:hAnsiTheme="minorHAnsi" w:cstheme="minorHAnsi"/>
          <w:sz w:val="24"/>
          <w:szCs w:val="24"/>
        </w:rPr>
        <w:t xml:space="preserve"> DESFA), (</w:t>
      </w:r>
      <w:r w:rsidR="00C430DA" w:rsidRPr="00B74333">
        <w:rPr>
          <w:rStyle w:val="cf11"/>
          <w:rFonts w:asciiTheme="minorHAnsi" w:hAnsiTheme="minorHAnsi" w:cstheme="minorHAnsi"/>
          <w:sz w:val="24"/>
          <w:szCs w:val="24"/>
        </w:rPr>
        <w:t>vii</w:t>
      </w:r>
      <w:r w:rsidR="00C430DA" w:rsidRPr="00B74333">
        <w:rPr>
          <w:rStyle w:val="cf01"/>
          <w:rFonts w:asciiTheme="minorHAnsi" w:hAnsiTheme="minorHAnsi" w:cstheme="minorHAnsi"/>
          <w:sz w:val="24"/>
          <w:szCs w:val="24"/>
        </w:rPr>
        <w:t xml:space="preserve">) New </w:t>
      </w:r>
      <w:r w:rsidR="0054332D" w:rsidRPr="00B74333">
        <w:rPr>
          <w:rStyle w:val="cf11"/>
          <w:rFonts w:asciiTheme="minorHAnsi" w:hAnsiTheme="minorHAnsi" w:cstheme="minorHAnsi"/>
          <w:sz w:val="24"/>
          <w:szCs w:val="24"/>
        </w:rPr>
        <w:t>e</w:t>
      </w:r>
      <w:r w:rsidR="00C430DA" w:rsidRPr="00B74333">
        <w:rPr>
          <w:rStyle w:val="cf11"/>
          <w:rFonts w:asciiTheme="minorHAnsi" w:hAnsiTheme="minorHAnsi" w:cstheme="minorHAnsi"/>
          <w:sz w:val="24"/>
          <w:szCs w:val="24"/>
        </w:rPr>
        <w:t>ntry</w:t>
      </w:r>
      <w:r w:rsidR="00C430DA" w:rsidRPr="00B74333">
        <w:rPr>
          <w:rStyle w:val="cf01"/>
          <w:rFonts w:asciiTheme="minorHAnsi" w:hAnsiTheme="minorHAnsi" w:cstheme="minorHAnsi"/>
          <w:sz w:val="24"/>
          <w:szCs w:val="24"/>
        </w:rPr>
        <w:t xml:space="preserve"> </w:t>
      </w:r>
      <w:r w:rsidR="0054332D" w:rsidRPr="00B74333">
        <w:rPr>
          <w:rStyle w:val="cf11"/>
          <w:rFonts w:asciiTheme="minorHAnsi" w:hAnsiTheme="minorHAnsi" w:cstheme="minorHAnsi"/>
          <w:sz w:val="24"/>
          <w:szCs w:val="24"/>
        </w:rPr>
        <w:t>p</w:t>
      </w:r>
      <w:r w:rsidR="00C430DA" w:rsidRPr="00B74333">
        <w:rPr>
          <w:rStyle w:val="cf11"/>
          <w:rFonts w:asciiTheme="minorHAnsi" w:hAnsiTheme="minorHAnsi" w:cstheme="minorHAnsi"/>
          <w:sz w:val="24"/>
          <w:szCs w:val="24"/>
        </w:rPr>
        <w:t>oint</w:t>
      </w:r>
      <w:r w:rsidR="00C430DA" w:rsidRPr="00B74333">
        <w:rPr>
          <w:rStyle w:val="cf01"/>
          <w:rFonts w:asciiTheme="minorHAnsi" w:hAnsiTheme="minorHAnsi" w:cstheme="minorHAnsi"/>
          <w:sz w:val="24"/>
          <w:szCs w:val="24"/>
        </w:rPr>
        <w:t xml:space="preserve"> ELPEDISON FSRU </w:t>
      </w:r>
      <w:r w:rsidR="00C430DA" w:rsidRPr="00B74333">
        <w:rPr>
          <w:rStyle w:val="cf11"/>
          <w:rFonts w:asciiTheme="minorHAnsi" w:hAnsiTheme="minorHAnsi" w:cstheme="minorHAnsi"/>
          <w:sz w:val="24"/>
          <w:szCs w:val="24"/>
        </w:rPr>
        <w:t>(Entry</w:t>
      </w:r>
      <w:r w:rsidR="00C430DA" w:rsidRPr="00B74333">
        <w:rPr>
          <w:rStyle w:val="cf01"/>
          <w:rFonts w:asciiTheme="minorHAnsi" w:hAnsiTheme="minorHAnsi" w:cstheme="minorHAnsi"/>
          <w:sz w:val="24"/>
          <w:szCs w:val="24"/>
        </w:rPr>
        <w:t xml:space="preserve"> DESFA), (</w:t>
      </w:r>
      <w:r w:rsidR="00C430DA" w:rsidRPr="00B74333">
        <w:rPr>
          <w:rStyle w:val="cf11"/>
          <w:rFonts w:asciiTheme="minorHAnsi" w:hAnsiTheme="minorHAnsi" w:cstheme="minorHAnsi"/>
          <w:sz w:val="24"/>
          <w:szCs w:val="24"/>
        </w:rPr>
        <w:t>viii</w:t>
      </w:r>
      <w:r w:rsidR="00C430DA" w:rsidRPr="00B74333">
        <w:rPr>
          <w:rStyle w:val="cf01"/>
          <w:rFonts w:asciiTheme="minorHAnsi" w:hAnsiTheme="minorHAnsi" w:cstheme="minorHAnsi"/>
          <w:sz w:val="24"/>
          <w:szCs w:val="24"/>
        </w:rPr>
        <w:t xml:space="preserve">) </w:t>
      </w:r>
      <w:r w:rsidR="00C430DA" w:rsidRPr="00B74333">
        <w:rPr>
          <w:rStyle w:val="cf21"/>
          <w:rFonts w:asciiTheme="minorHAnsi" w:hAnsiTheme="minorHAnsi" w:cstheme="minorHAnsi"/>
          <w:sz w:val="24"/>
          <w:szCs w:val="24"/>
        </w:rPr>
        <w:t xml:space="preserve">New </w:t>
      </w:r>
      <w:r w:rsidR="0054332D" w:rsidRPr="00B74333">
        <w:rPr>
          <w:rStyle w:val="cf31"/>
          <w:rFonts w:asciiTheme="minorHAnsi" w:hAnsiTheme="minorHAnsi" w:cstheme="minorHAnsi"/>
          <w:sz w:val="24"/>
          <w:szCs w:val="24"/>
        </w:rPr>
        <w:t>e</w:t>
      </w:r>
      <w:r w:rsidR="00C430DA" w:rsidRPr="00B74333">
        <w:rPr>
          <w:rStyle w:val="cf31"/>
          <w:rFonts w:asciiTheme="minorHAnsi" w:hAnsiTheme="minorHAnsi" w:cstheme="minorHAnsi"/>
          <w:sz w:val="24"/>
          <w:szCs w:val="24"/>
        </w:rPr>
        <w:t>ntry</w:t>
      </w:r>
      <w:r w:rsidR="00C430DA" w:rsidRPr="00B74333">
        <w:rPr>
          <w:rStyle w:val="cf21"/>
          <w:rFonts w:asciiTheme="minorHAnsi" w:hAnsiTheme="minorHAnsi" w:cstheme="minorHAnsi"/>
          <w:sz w:val="24"/>
          <w:szCs w:val="24"/>
        </w:rPr>
        <w:t xml:space="preserve"> </w:t>
      </w:r>
      <w:r w:rsidR="0054332D" w:rsidRPr="00B74333">
        <w:rPr>
          <w:rStyle w:val="cf31"/>
          <w:rFonts w:asciiTheme="minorHAnsi" w:hAnsiTheme="minorHAnsi" w:cstheme="minorHAnsi"/>
          <w:sz w:val="24"/>
          <w:szCs w:val="24"/>
        </w:rPr>
        <w:t>p</w:t>
      </w:r>
      <w:r w:rsidR="00C430DA" w:rsidRPr="00B74333">
        <w:rPr>
          <w:rStyle w:val="cf31"/>
          <w:rFonts w:asciiTheme="minorHAnsi" w:hAnsiTheme="minorHAnsi" w:cstheme="minorHAnsi"/>
          <w:sz w:val="24"/>
          <w:szCs w:val="24"/>
        </w:rPr>
        <w:t>oint</w:t>
      </w:r>
      <w:r w:rsidR="00C430DA" w:rsidRPr="00B74333">
        <w:rPr>
          <w:rStyle w:val="cf21"/>
          <w:rFonts w:asciiTheme="minorHAnsi" w:hAnsiTheme="minorHAnsi" w:cstheme="minorHAnsi"/>
          <w:sz w:val="24"/>
          <w:szCs w:val="24"/>
        </w:rPr>
        <w:t xml:space="preserve"> </w:t>
      </w:r>
      <w:r w:rsidR="00C430DA" w:rsidRPr="00B74333">
        <w:rPr>
          <w:rStyle w:val="cf31"/>
          <w:rFonts w:asciiTheme="minorHAnsi" w:hAnsiTheme="minorHAnsi" w:cstheme="minorHAnsi"/>
          <w:sz w:val="24"/>
          <w:szCs w:val="24"/>
        </w:rPr>
        <w:t>–</w:t>
      </w:r>
      <w:r w:rsidR="00C430DA" w:rsidRPr="00B74333">
        <w:rPr>
          <w:rStyle w:val="cf21"/>
          <w:rFonts w:asciiTheme="minorHAnsi" w:hAnsiTheme="minorHAnsi" w:cstheme="minorHAnsi"/>
          <w:sz w:val="24"/>
          <w:szCs w:val="24"/>
        </w:rPr>
        <w:t xml:space="preserve"> ARGO FSRU </w:t>
      </w:r>
      <w:r w:rsidR="00C430DA" w:rsidRPr="00B74333">
        <w:rPr>
          <w:rStyle w:val="cf11"/>
          <w:rFonts w:asciiTheme="minorHAnsi" w:hAnsiTheme="minorHAnsi" w:cstheme="minorHAnsi"/>
          <w:sz w:val="24"/>
          <w:szCs w:val="24"/>
        </w:rPr>
        <w:t>(Entry</w:t>
      </w:r>
      <w:r w:rsidR="00C430DA" w:rsidRPr="00B74333">
        <w:rPr>
          <w:rStyle w:val="cf01"/>
          <w:rFonts w:asciiTheme="minorHAnsi" w:hAnsiTheme="minorHAnsi" w:cstheme="minorHAnsi"/>
          <w:sz w:val="24"/>
          <w:szCs w:val="24"/>
        </w:rPr>
        <w:t xml:space="preserve"> DESFA) </w:t>
      </w:r>
      <w:r w:rsidR="00C430DA" w:rsidRPr="00B74333">
        <w:rPr>
          <w:rStyle w:val="cf21"/>
          <w:rFonts w:asciiTheme="minorHAnsi" w:hAnsiTheme="minorHAnsi" w:cstheme="minorHAnsi"/>
          <w:sz w:val="24"/>
          <w:szCs w:val="24"/>
        </w:rPr>
        <w:t>and (</w:t>
      </w:r>
      <w:r w:rsidR="00C430DA" w:rsidRPr="00B74333">
        <w:rPr>
          <w:rStyle w:val="cf31"/>
          <w:rFonts w:asciiTheme="minorHAnsi" w:hAnsiTheme="minorHAnsi" w:cstheme="minorHAnsi"/>
          <w:sz w:val="24"/>
          <w:szCs w:val="24"/>
        </w:rPr>
        <w:t>ix</w:t>
      </w:r>
      <w:r w:rsidR="00C430DA" w:rsidRPr="00B74333">
        <w:rPr>
          <w:rStyle w:val="cf21"/>
          <w:rFonts w:asciiTheme="minorHAnsi" w:hAnsiTheme="minorHAnsi" w:cstheme="minorHAnsi"/>
          <w:sz w:val="24"/>
          <w:szCs w:val="24"/>
        </w:rPr>
        <w:t xml:space="preserve">) New </w:t>
      </w:r>
      <w:r w:rsidR="0054332D" w:rsidRPr="00B74333">
        <w:rPr>
          <w:rStyle w:val="cf31"/>
          <w:rFonts w:asciiTheme="minorHAnsi" w:hAnsiTheme="minorHAnsi" w:cstheme="minorHAnsi"/>
          <w:sz w:val="24"/>
          <w:szCs w:val="24"/>
        </w:rPr>
        <w:t>e</w:t>
      </w:r>
      <w:r w:rsidR="00C430DA" w:rsidRPr="00B74333">
        <w:rPr>
          <w:rStyle w:val="cf31"/>
          <w:rFonts w:asciiTheme="minorHAnsi" w:hAnsiTheme="minorHAnsi" w:cstheme="minorHAnsi"/>
          <w:sz w:val="24"/>
          <w:szCs w:val="24"/>
        </w:rPr>
        <w:t>ntry</w:t>
      </w:r>
      <w:r w:rsidR="00C430DA" w:rsidRPr="00B74333">
        <w:rPr>
          <w:rStyle w:val="cf21"/>
          <w:rFonts w:asciiTheme="minorHAnsi" w:hAnsiTheme="minorHAnsi" w:cstheme="minorHAnsi"/>
          <w:sz w:val="24"/>
          <w:szCs w:val="24"/>
        </w:rPr>
        <w:t xml:space="preserve"> </w:t>
      </w:r>
      <w:r w:rsidR="0054332D" w:rsidRPr="00B74333">
        <w:rPr>
          <w:rStyle w:val="cf31"/>
          <w:rFonts w:asciiTheme="minorHAnsi" w:hAnsiTheme="minorHAnsi" w:cstheme="minorHAnsi"/>
          <w:sz w:val="24"/>
          <w:szCs w:val="24"/>
        </w:rPr>
        <w:t>p</w:t>
      </w:r>
      <w:r w:rsidR="00C430DA" w:rsidRPr="00B74333">
        <w:rPr>
          <w:rStyle w:val="cf31"/>
          <w:rFonts w:asciiTheme="minorHAnsi" w:hAnsiTheme="minorHAnsi" w:cstheme="minorHAnsi"/>
          <w:sz w:val="24"/>
          <w:szCs w:val="24"/>
        </w:rPr>
        <w:t>oint</w:t>
      </w:r>
      <w:r w:rsidR="00C430DA" w:rsidRPr="00B74333">
        <w:rPr>
          <w:rStyle w:val="cf21"/>
          <w:rFonts w:asciiTheme="minorHAnsi" w:hAnsiTheme="minorHAnsi" w:cstheme="minorHAnsi"/>
          <w:sz w:val="24"/>
          <w:szCs w:val="24"/>
        </w:rPr>
        <w:t xml:space="preserve"> </w:t>
      </w:r>
      <w:r w:rsidR="00C430DA" w:rsidRPr="00B74333">
        <w:rPr>
          <w:rStyle w:val="cf31"/>
          <w:rFonts w:asciiTheme="minorHAnsi" w:hAnsiTheme="minorHAnsi" w:cstheme="minorHAnsi"/>
          <w:sz w:val="24"/>
          <w:szCs w:val="24"/>
        </w:rPr>
        <w:t>–</w:t>
      </w:r>
      <w:r w:rsidR="00C430DA" w:rsidRPr="00B74333">
        <w:rPr>
          <w:rStyle w:val="cf21"/>
          <w:rFonts w:asciiTheme="minorHAnsi" w:hAnsiTheme="minorHAnsi" w:cstheme="minorHAnsi"/>
          <w:sz w:val="24"/>
          <w:szCs w:val="24"/>
        </w:rPr>
        <w:t xml:space="preserve"> DIORYGA GAS FSRU </w:t>
      </w:r>
      <w:r w:rsidR="00C430DA" w:rsidRPr="00B74333">
        <w:rPr>
          <w:rStyle w:val="cf11"/>
          <w:rFonts w:asciiTheme="minorHAnsi" w:hAnsiTheme="minorHAnsi" w:cstheme="minorHAnsi"/>
          <w:sz w:val="24"/>
          <w:szCs w:val="24"/>
        </w:rPr>
        <w:t>(Entry</w:t>
      </w:r>
      <w:r w:rsidR="00C430DA" w:rsidRPr="00B74333">
        <w:rPr>
          <w:rStyle w:val="cf01"/>
          <w:rFonts w:asciiTheme="minorHAnsi" w:hAnsiTheme="minorHAnsi" w:cstheme="minorHAnsi"/>
          <w:sz w:val="24"/>
          <w:szCs w:val="24"/>
        </w:rPr>
        <w:t xml:space="preserve"> DESFA)</w:t>
      </w:r>
      <w:r w:rsidR="00C430DA" w:rsidRPr="00B74333">
        <w:rPr>
          <w:rStyle w:val="cf21"/>
          <w:rFonts w:asciiTheme="minorHAnsi" w:hAnsiTheme="minorHAnsi" w:cstheme="minorHAnsi"/>
          <w:sz w:val="24"/>
          <w:szCs w:val="24"/>
        </w:rPr>
        <w:t>]</w:t>
      </w:r>
      <w:r w:rsidR="00437307" w:rsidRPr="00B74333">
        <w:rPr>
          <w:rStyle w:val="cf21"/>
          <w:rFonts w:asciiTheme="minorHAnsi" w:hAnsiTheme="minorHAnsi" w:cstheme="minorHAnsi"/>
          <w:sz w:val="24"/>
          <w:szCs w:val="24"/>
        </w:rPr>
        <w:t xml:space="preserve"> </w:t>
      </w:r>
      <w:r w:rsidRPr="00B74333">
        <w:rPr>
          <w:rFonts w:eastAsia="Calibri" w:cstheme="minorHAnsi"/>
          <w:color w:val="000000"/>
          <w:sz w:val="24"/>
          <w:szCs w:val="24"/>
          <w:lang w:bidi="en-US"/>
        </w:rPr>
        <w:t>starting from the COD as per Article 2.2, subject to Articles 3.2, 3.3</w:t>
      </w:r>
      <w:r w:rsidR="00241DAC" w:rsidRPr="00B74333">
        <w:rPr>
          <w:rFonts w:eastAsia="Calibri" w:cstheme="minorHAnsi"/>
          <w:color w:val="000000"/>
          <w:sz w:val="24"/>
          <w:szCs w:val="24"/>
          <w:lang w:bidi="en-US"/>
        </w:rPr>
        <w:t>, 5.5</w:t>
      </w:r>
      <w:r w:rsidRPr="00B74333">
        <w:rPr>
          <w:rFonts w:eastAsia="Calibri" w:cstheme="minorHAnsi"/>
          <w:color w:val="000000"/>
          <w:sz w:val="24"/>
          <w:szCs w:val="24"/>
          <w:lang w:bidi="en-US"/>
        </w:rPr>
        <w:t xml:space="preserve"> and 5.</w:t>
      </w:r>
      <w:r w:rsidR="00241DAC" w:rsidRPr="00B74333">
        <w:rPr>
          <w:rFonts w:eastAsia="Calibri" w:cstheme="minorHAnsi"/>
          <w:color w:val="000000"/>
          <w:sz w:val="24"/>
          <w:szCs w:val="24"/>
          <w:lang w:bidi="en-US"/>
        </w:rPr>
        <w:t>6</w:t>
      </w:r>
      <w:r w:rsidRPr="00B74333">
        <w:rPr>
          <w:rFonts w:eastAsia="Calibri" w:cstheme="minorHAnsi"/>
          <w:color w:val="000000"/>
          <w:sz w:val="24"/>
          <w:szCs w:val="24"/>
          <w:lang w:bidi="en-US"/>
        </w:rPr>
        <w:t>.</w:t>
      </w:r>
    </w:p>
    <w:p w14:paraId="1A472304" w14:textId="2D17A247" w:rsidR="00192F18" w:rsidRPr="00B74333" w:rsidRDefault="00192F18">
      <w:pPr>
        <w:widowControl w:val="0"/>
        <w:numPr>
          <w:ilvl w:val="0"/>
          <w:numId w:val="46"/>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w:t>
      </w:r>
      <w:proofErr w:type="gramStart"/>
      <w:r w:rsidRPr="00B74333">
        <w:rPr>
          <w:rFonts w:eastAsia="Calibri" w:cstheme="minorHAnsi"/>
          <w:color w:val="000000"/>
          <w:sz w:val="24"/>
          <w:szCs w:val="24"/>
          <w:lang w:bidi="en-US"/>
        </w:rPr>
        <w:t>to provide</w:t>
      </w:r>
      <w:proofErr w:type="gramEnd"/>
      <w:r w:rsidRPr="00B74333" w:rsidDel="006A1551">
        <w:rPr>
          <w:rFonts w:eastAsia="Calibri" w:cstheme="minorHAnsi"/>
          <w:color w:val="000000"/>
          <w:sz w:val="24"/>
          <w:szCs w:val="24"/>
          <w:lang w:bidi="en-US"/>
        </w:rPr>
        <w:t xml:space="preserve"> </w:t>
      </w:r>
      <w:r w:rsidRPr="00B74333">
        <w:rPr>
          <w:rFonts w:eastAsia="Calibri" w:cstheme="minorHAnsi"/>
          <w:color w:val="000000"/>
          <w:sz w:val="24"/>
          <w:szCs w:val="24"/>
          <w:lang w:bidi="en-US"/>
        </w:rPr>
        <w:t xml:space="preserve">DESFA </w:t>
      </w:r>
      <w:r w:rsidR="009A64D7" w:rsidRPr="00B74333">
        <w:rPr>
          <w:rFonts w:eastAsia="Calibri" w:cstheme="minorHAnsi"/>
          <w:color w:val="000000"/>
          <w:sz w:val="24"/>
          <w:szCs w:val="24"/>
          <w:lang w:bidi="en-US"/>
        </w:rPr>
        <w:t xml:space="preserve">with </w:t>
      </w:r>
      <w:r w:rsidRPr="00B74333">
        <w:rPr>
          <w:rFonts w:eastAsia="Calibri" w:cstheme="minorHAnsi"/>
          <w:color w:val="000000"/>
          <w:sz w:val="24"/>
          <w:szCs w:val="24"/>
          <w:lang w:bidi="en-US"/>
        </w:rPr>
        <w:t xml:space="preserve">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for the proper performance of all its obligations under this Agreement and maintain it throughout the term of this Agreement pursuant to Article 3.1.</w:t>
      </w:r>
    </w:p>
    <w:p w14:paraId="36170CEC" w14:textId="73255A04" w:rsidR="00192F18" w:rsidRPr="00B74333" w:rsidRDefault="00192F18">
      <w:pPr>
        <w:widowControl w:val="0"/>
        <w:numPr>
          <w:ilvl w:val="0"/>
          <w:numId w:val="46"/>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w:t>
      </w:r>
      <w:proofErr w:type="gramStart"/>
      <w:r w:rsidRPr="00B74333">
        <w:rPr>
          <w:rFonts w:eastAsia="Calibri" w:cstheme="minorHAnsi"/>
          <w:color w:val="000000"/>
          <w:sz w:val="24"/>
          <w:szCs w:val="24"/>
          <w:lang w:bidi="en-US"/>
        </w:rPr>
        <w:t>to book</w:t>
      </w:r>
      <w:proofErr w:type="gramEnd"/>
      <w:r w:rsidRPr="00B74333">
        <w:rPr>
          <w:rFonts w:eastAsia="Calibri" w:cstheme="minorHAnsi"/>
          <w:color w:val="000000"/>
          <w:sz w:val="24"/>
          <w:szCs w:val="24"/>
          <w:lang w:bidi="en-US"/>
        </w:rPr>
        <w:t xml:space="preserve"> the Allocated Capacity under the</w:t>
      </w:r>
      <w:r w:rsidR="00FD778E" w:rsidRPr="00B74333">
        <w:rPr>
          <w:rFonts w:cstheme="minorHAnsi"/>
        </w:rPr>
        <w:t xml:space="preserve"> </w:t>
      </w:r>
      <w:r w:rsidR="00FD778E" w:rsidRPr="00B74333">
        <w:rPr>
          <w:rFonts w:eastAsia="Calibri" w:cstheme="minorHAnsi"/>
          <w:color w:val="000000"/>
          <w:sz w:val="24"/>
          <w:szCs w:val="24"/>
          <w:lang w:bidi="en-US"/>
        </w:rPr>
        <w:t>NNGS Standard Transmission Agreement</w:t>
      </w:r>
      <w:r w:rsidRPr="00B74333">
        <w:rPr>
          <w:rFonts w:eastAsia="Calibri" w:cstheme="minorHAnsi"/>
          <w:color w:val="000000"/>
          <w:sz w:val="24"/>
          <w:szCs w:val="24"/>
          <w:lang w:bidi="en-US"/>
        </w:rPr>
        <w:t xml:space="preserve"> pursuant to the terms of this Agreement and applicable Law.</w:t>
      </w:r>
    </w:p>
    <w:p w14:paraId="76CE1E28" w14:textId="51A4F182" w:rsidR="00AF0E2A" w:rsidRPr="00B74333" w:rsidRDefault="00192F18" w:rsidP="0047227E">
      <w:pPr>
        <w:widowControl w:val="0"/>
        <w:numPr>
          <w:ilvl w:val="1"/>
          <w:numId w:val="45"/>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COD is hereby set to be the </w:t>
      </w:r>
      <w:r w:rsidR="00AF0E2A" w:rsidRPr="00B74333">
        <w:rPr>
          <w:rFonts w:eastAsia="Calibri" w:cstheme="minorHAnsi"/>
          <w:i/>
          <w:color w:val="000000"/>
          <w:sz w:val="24"/>
          <w:szCs w:val="24"/>
          <w:lang w:bidi="en-US"/>
        </w:rPr>
        <w:t>[choose among (i) to (</w:t>
      </w:r>
      <w:r w:rsidR="003617EC" w:rsidRPr="00B74333">
        <w:rPr>
          <w:rFonts w:eastAsia="Calibri" w:cstheme="minorHAnsi"/>
          <w:i/>
          <w:color w:val="000000"/>
          <w:sz w:val="24"/>
          <w:szCs w:val="24"/>
          <w:lang w:bidi="en-US"/>
        </w:rPr>
        <w:t>iii</w:t>
      </w:r>
      <w:r w:rsidR="00AF0E2A" w:rsidRPr="00B74333">
        <w:rPr>
          <w:rFonts w:eastAsia="Calibri" w:cstheme="minorHAnsi"/>
          <w:i/>
          <w:color w:val="000000"/>
          <w:sz w:val="24"/>
          <w:szCs w:val="24"/>
          <w:lang w:bidi="en-US"/>
        </w:rPr>
        <w:t>) as appropriate and delete the remaining cases: (i) 01.01.202</w:t>
      </w:r>
      <w:r w:rsidR="00B84C20" w:rsidRPr="00B74333">
        <w:rPr>
          <w:rFonts w:eastAsia="Calibri" w:cstheme="minorHAnsi"/>
          <w:i/>
          <w:color w:val="000000"/>
          <w:sz w:val="24"/>
          <w:szCs w:val="24"/>
          <w:lang w:bidi="en-US"/>
        </w:rPr>
        <w:t>9</w:t>
      </w:r>
      <w:r w:rsidR="00AF0E2A" w:rsidRPr="00B74333">
        <w:rPr>
          <w:rFonts w:eastAsia="Calibri" w:cstheme="minorHAnsi"/>
          <w:i/>
          <w:color w:val="000000"/>
          <w:sz w:val="24"/>
          <w:szCs w:val="24"/>
          <w:lang w:bidi="en-US"/>
        </w:rPr>
        <w:t xml:space="preserve"> [in case of Allocated Capacity for “Limited Expansion Offer Level”], (ii) 01.0</w:t>
      </w:r>
      <w:r w:rsidR="00B84C20" w:rsidRPr="00B74333">
        <w:rPr>
          <w:rFonts w:eastAsia="Calibri" w:cstheme="minorHAnsi"/>
          <w:i/>
          <w:color w:val="000000"/>
          <w:sz w:val="24"/>
          <w:szCs w:val="24"/>
          <w:lang w:bidi="en-US"/>
        </w:rPr>
        <w:t>6</w:t>
      </w:r>
      <w:r w:rsidR="00AF0E2A" w:rsidRPr="00B74333">
        <w:rPr>
          <w:rFonts w:eastAsia="Calibri" w:cstheme="minorHAnsi"/>
          <w:i/>
          <w:color w:val="000000"/>
          <w:sz w:val="24"/>
          <w:szCs w:val="24"/>
          <w:lang w:bidi="en-US"/>
        </w:rPr>
        <w:t>.2029</w:t>
      </w:r>
      <w:r w:rsidR="00450048" w:rsidRPr="00B74333">
        <w:rPr>
          <w:rStyle w:val="FootnoteReference"/>
          <w:rFonts w:eastAsia="Calibri" w:cstheme="minorHAnsi"/>
          <w:i/>
          <w:color w:val="000000"/>
          <w:sz w:val="24"/>
          <w:szCs w:val="24"/>
          <w:lang w:bidi="en-US"/>
        </w:rPr>
        <w:footnoteReference w:id="24"/>
      </w:r>
      <w:r w:rsidR="00B84C20" w:rsidRPr="00B74333">
        <w:rPr>
          <w:rFonts w:eastAsia="Calibri" w:cstheme="minorHAnsi"/>
          <w:i/>
          <w:color w:val="000000"/>
          <w:sz w:val="24"/>
          <w:szCs w:val="24"/>
          <w:lang w:bidi="en-US"/>
        </w:rPr>
        <w:t xml:space="preserve"> [in case of Allocated Capacity for “</w:t>
      </w:r>
      <w:r w:rsidR="00DA6E02" w:rsidRPr="00B74333">
        <w:rPr>
          <w:rFonts w:eastAsia="Calibri" w:cstheme="minorHAnsi"/>
          <w:i/>
          <w:color w:val="000000"/>
          <w:sz w:val="24"/>
          <w:szCs w:val="24"/>
          <w:lang w:bidi="en-US"/>
        </w:rPr>
        <w:t>Partial</w:t>
      </w:r>
      <w:r w:rsidR="00B84C20" w:rsidRPr="00B74333">
        <w:rPr>
          <w:rFonts w:eastAsia="Calibri" w:cstheme="minorHAnsi"/>
          <w:i/>
          <w:color w:val="000000"/>
          <w:sz w:val="24"/>
          <w:szCs w:val="24"/>
          <w:lang w:bidi="en-US"/>
        </w:rPr>
        <w:t xml:space="preserve"> Expansion Offer Level”]</w:t>
      </w:r>
      <w:r w:rsidR="004C0C39" w:rsidRPr="00B74333">
        <w:rPr>
          <w:rFonts w:eastAsia="Calibri" w:cstheme="minorHAnsi"/>
          <w:i/>
          <w:color w:val="000000"/>
          <w:sz w:val="24"/>
          <w:szCs w:val="24"/>
          <w:lang w:bidi="en-US"/>
        </w:rPr>
        <w:t xml:space="preserve"> </w:t>
      </w:r>
      <w:r w:rsidR="00B84C20" w:rsidRPr="00B74333">
        <w:rPr>
          <w:rFonts w:eastAsia="Calibri" w:cstheme="minorHAnsi"/>
          <w:i/>
          <w:color w:val="000000"/>
          <w:sz w:val="24"/>
          <w:szCs w:val="24"/>
          <w:lang w:bidi="en-US"/>
        </w:rPr>
        <w:t>or</w:t>
      </w:r>
      <w:r w:rsidR="00AF0E2A" w:rsidRPr="00B74333">
        <w:rPr>
          <w:rFonts w:eastAsia="Calibri" w:cstheme="minorHAnsi"/>
          <w:i/>
          <w:color w:val="000000"/>
          <w:sz w:val="24"/>
          <w:szCs w:val="24"/>
          <w:lang w:bidi="en-US"/>
        </w:rPr>
        <w:t xml:space="preserve"> (iii) 01.</w:t>
      </w:r>
      <w:r w:rsidR="00DA6E02" w:rsidRPr="00B74333">
        <w:rPr>
          <w:rFonts w:eastAsia="Calibri" w:cstheme="minorHAnsi"/>
          <w:i/>
          <w:color w:val="000000"/>
          <w:sz w:val="24"/>
          <w:szCs w:val="24"/>
          <w:lang w:bidi="en-US"/>
        </w:rPr>
        <w:t>01</w:t>
      </w:r>
      <w:r w:rsidR="00AF0E2A" w:rsidRPr="00B74333">
        <w:rPr>
          <w:rFonts w:eastAsia="Calibri" w:cstheme="minorHAnsi"/>
          <w:i/>
          <w:color w:val="000000"/>
          <w:sz w:val="24"/>
          <w:szCs w:val="24"/>
          <w:lang w:bidi="en-US"/>
        </w:rPr>
        <w:t>.20</w:t>
      </w:r>
      <w:r w:rsidR="00DA6E02" w:rsidRPr="00B74333">
        <w:rPr>
          <w:rFonts w:eastAsia="Calibri" w:cstheme="minorHAnsi"/>
          <w:i/>
          <w:color w:val="000000"/>
          <w:sz w:val="24"/>
          <w:szCs w:val="24"/>
          <w:lang w:bidi="en-US"/>
        </w:rPr>
        <w:t>30 [in case of Allocated Capacity for “Full Expansion Offer Level”]</w:t>
      </w:r>
      <w:r w:rsidR="00AF0E2A" w:rsidRPr="00B74333">
        <w:rPr>
          <w:rFonts w:eastAsia="Calibri" w:cstheme="minorHAnsi"/>
          <w:i/>
          <w:color w:val="000000"/>
          <w:sz w:val="24"/>
          <w:szCs w:val="24"/>
          <w:lang w:bidi="en-US"/>
        </w:rPr>
        <w:t>]</w:t>
      </w:r>
      <w:r w:rsidR="00E11AA4" w:rsidRPr="00B74333">
        <w:rPr>
          <w:rStyle w:val="FootnoteReference"/>
          <w:rFonts w:eastAsia="Calibri" w:cstheme="minorHAnsi"/>
          <w:i/>
          <w:color w:val="000000"/>
          <w:sz w:val="24"/>
          <w:szCs w:val="24"/>
          <w:lang w:bidi="en-US"/>
        </w:rPr>
        <w:footnoteReference w:id="25"/>
      </w:r>
      <w:r w:rsidR="00AF0E2A" w:rsidRPr="00B74333">
        <w:rPr>
          <w:rFonts w:eastAsia="Calibri" w:cstheme="minorHAnsi"/>
          <w:i/>
          <w:color w:val="000000"/>
          <w:sz w:val="24"/>
          <w:szCs w:val="24"/>
          <w:lang w:bidi="en-US"/>
        </w:rPr>
        <w:t xml:space="preserve"> </w:t>
      </w:r>
      <w:r w:rsidR="00AF0E2A" w:rsidRPr="00B74333">
        <w:rPr>
          <w:rFonts w:eastAsia="Calibri" w:cstheme="minorHAnsi"/>
          <w:color w:val="000000"/>
          <w:sz w:val="24"/>
          <w:szCs w:val="24"/>
          <w:lang w:bidi="en-US"/>
        </w:rPr>
        <w:t xml:space="preserve">in accordance with the Guidelines and the Binding Phase </w:t>
      </w:r>
      <w:proofErr w:type="spellStart"/>
      <w:r w:rsidR="00AF0E2A" w:rsidRPr="00B74333">
        <w:rPr>
          <w:rFonts w:eastAsia="Calibri" w:cstheme="minorHAnsi"/>
          <w:color w:val="000000"/>
          <w:sz w:val="24"/>
          <w:szCs w:val="24"/>
          <w:lang w:bidi="en-US"/>
        </w:rPr>
        <w:t>Νotice</w:t>
      </w:r>
      <w:proofErr w:type="spellEnd"/>
      <w:r w:rsidR="00AF0E2A" w:rsidRPr="00B74333">
        <w:rPr>
          <w:rFonts w:eastAsia="Calibri" w:cstheme="minorHAnsi"/>
          <w:color w:val="000000"/>
          <w:sz w:val="24"/>
          <w:szCs w:val="24"/>
          <w:lang w:bidi="en-US"/>
        </w:rPr>
        <w:t>.</w:t>
      </w:r>
    </w:p>
    <w:p w14:paraId="1160FBA0" w14:textId="60CB3F8F" w:rsidR="00192F18" w:rsidRPr="00B74333" w:rsidRDefault="00192F18">
      <w:pPr>
        <w:widowControl w:val="0"/>
        <w:numPr>
          <w:ilvl w:val="2"/>
          <w:numId w:val="45"/>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Company shall be deemed to have accepted that in case any of the authorizations, permissions, easements</w:t>
      </w:r>
      <w:r w:rsidR="00F53A1A" w:rsidRPr="00B74333">
        <w:rPr>
          <w:rFonts w:cstheme="minorHAnsi"/>
          <w:sz w:val="24"/>
          <w:szCs w:val="24"/>
        </w:rPr>
        <w:t>, procurement contracts and</w:t>
      </w:r>
      <w:r w:rsidRPr="00B74333" w:rsidDel="00F53A1A">
        <w:rPr>
          <w:rFonts w:eastAsia="Calibri" w:cstheme="minorHAnsi"/>
          <w:color w:val="000000"/>
          <w:sz w:val="24"/>
          <w:szCs w:val="24"/>
          <w:lang w:bidi="en-US"/>
        </w:rPr>
        <w:t xml:space="preserve"> </w:t>
      </w:r>
      <w:r w:rsidRPr="00B74333">
        <w:rPr>
          <w:rFonts w:eastAsia="Calibri" w:cstheme="minorHAnsi"/>
          <w:color w:val="000000"/>
          <w:sz w:val="24"/>
          <w:szCs w:val="24"/>
          <w:lang w:bidi="en-US"/>
        </w:rPr>
        <w:t>any other relevant land rights necessary for the construction phase of the Incremental Capacity Project are not obtained</w:t>
      </w:r>
      <w:r w:rsidR="00296891" w:rsidRPr="00B74333">
        <w:rPr>
          <w:rFonts w:eastAsia="Calibri" w:cstheme="minorHAnsi"/>
          <w:color w:val="000000"/>
          <w:sz w:val="24"/>
          <w:szCs w:val="24"/>
          <w:lang w:bidi="en-US"/>
        </w:rPr>
        <w:t>/ signed</w:t>
      </w:r>
      <w:r w:rsidRPr="00B74333">
        <w:rPr>
          <w:rFonts w:eastAsia="Calibri" w:cstheme="minorHAnsi"/>
          <w:color w:val="000000"/>
          <w:sz w:val="24"/>
          <w:szCs w:val="24"/>
          <w:lang w:bidi="en-US"/>
        </w:rPr>
        <w:t xml:space="preserve"> or delayed then the </w:t>
      </w:r>
      <w:r w:rsidR="00F14143" w:rsidRPr="00B74333">
        <w:rPr>
          <w:rFonts w:eastAsia="Calibri" w:cstheme="minorHAnsi"/>
          <w:color w:val="000000"/>
          <w:sz w:val="24"/>
          <w:szCs w:val="24"/>
          <w:lang w:bidi="en-US"/>
        </w:rPr>
        <w:t>timeline</w:t>
      </w:r>
      <w:r w:rsidRPr="00B74333">
        <w:rPr>
          <w:rFonts w:eastAsia="Calibri" w:cstheme="minorHAnsi"/>
          <w:color w:val="000000"/>
          <w:sz w:val="24"/>
          <w:szCs w:val="24"/>
          <w:lang w:bidi="en-US"/>
        </w:rPr>
        <w:t xml:space="preserve"> for the implementation of the Incremental Capacity Project by all TSOs involved shall be considered correspondingly extended and DESFA shall be entitled to also extend the COD and shall have no liability whatsoever to the Company in connection with such delays.</w:t>
      </w:r>
    </w:p>
    <w:p w14:paraId="50A1D794" w14:textId="5EF046DA" w:rsidR="00192F18" w:rsidRPr="00B74333" w:rsidRDefault="00192F18">
      <w:pPr>
        <w:widowControl w:val="0"/>
        <w:numPr>
          <w:ilvl w:val="2"/>
          <w:numId w:val="45"/>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In the event of a delay pursuant to Article 2.2.1. above, no later than thirty (30) Days from becoming aware of the delay, DESFA shall notify the Company in writing </w:t>
      </w:r>
      <w:proofErr w:type="gramStart"/>
      <w:r w:rsidRPr="00B74333">
        <w:rPr>
          <w:rFonts w:eastAsia="Calibri" w:cstheme="minorHAnsi"/>
          <w:color w:val="000000"/>
          <w:sz w:val="24"/>
          <w:szCs w:val="24"/>
          <w:lang w:bidi="en-US"/>
        </w:rPr>
        <w:t>both of the delay</w:t>
      </w:r>
      <w:proofErr w:type="gramEnd"/>
      <w:r w:rsidRPr="00B74333">
        <w:rPr>
          <w:rFonts w:eastAsia="Calibri" w:cstheme="minorHAnsi"/>
          <w:color w:val="000000"/>
          <w:sz w:val="24"/>
          <w:szCs w:val="24"/>
          <w:lang w:bidi="en-US"/>
        </w:rPr>
        <w:t xml:space="preserve"> and of the permitted extended COD.</w:t>
      </w:r>
    </w:p>
    <w:p w14:paraId="6BD83A48" w14:textId="65AD39D7" w:rsidR="00192F18" w:rsidRPr="00B74333" w:rsidRDefault="00192F18">
      <w:pPr>
        <w:widowControl w:val="0"/>
        <w:numPr>
          <w:ilvl w:val="2"/>
          <w:numId w:val="45"/>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In the event of a delay or misalignment in the commercial operation date for</w:t>
      </w:r>
      <w:r w:rsidR="00C5754F" w:rsidRPr="00B74333">
        <w:rPr>
          <w:rFonts w:eastAsia="Calibri" w:cstheme="minorHAnsi"/>
          <w:color w:val="000000"/>
          <w:sz w:val="24"/>
          <w:szCs w:val="24"/>
          <w:lang w:bidi="en-US"/>
        </w:rPr>
        <w:t xml:space="preserve"> the</w:t>
      </w:r>
      <w:r w:rsidRPr="00B74333">
        <w:rPr>
          <w:rFonts w:eastAsia="Calibri" w:cstheme="minorHAnsi"/>
          <w:color w:val="000000"/>
          <w:sz w:val="24"/>
          <w:szCs w:val="24"/>
          <w:lang w:bidi="en-US"/>
        </w:rPr>
        <w:t xml:space="preserve"> TSOs</w:t>
      </w:r>
      <w:r w:rsidR="00AD608C" w:rsidRPr="00B74333">
        <w:rPr>
          <w:rFonts w:eastAsia="Calibri" w:cstheme="minorHAnsi"/>
          <w:color w:val="000000"/>
          <w:sz w:val="24"/>
          <w:szCs w:val="24"/>
          <w:lang w:bidi="en-US"/>
        </w:rPr>
        <w:t xml:space="preserve"> Concerned</w:t>
      </w:r>
      <w:r w:rsidRPr="00B74333">
        <w:rPr>
          <w:rFonts w:eastAsia="Calibri" w:cstheme="minorHAnsi"/>
          <w:color w:val="000000"/>
          <w:sz w:val="24"/>
          <w:szCs w:val="24"/>
          <w:lang w:bidi="en-US"/>
        </w:rPr>
        <w:t xml:space="preserve">, DESFA has the right (but not the obligation) to agree with the Company and implement ways of mitigating the consequences of such delay or misalignment, including by amending the COD and by adjusting any bundled capacity allocation, in connection with which DESFA shall have no liability whatsoever to the Company. Any such mitigation is expected to </w:t>
      </w:r>
      <w:r w:rsidRPr="00B74333">
        <w:rPr>
          <w:rFonts w:eastAsia="Calibri" w:cstheme="minorHAnsi"/>
          <w:color w:val="000000"/>
          <w:sz w:val="24"/>
          <w:szCs w:val="24"/>
          <w:lang w:bidi="en-US"/>
        </w:rPr>
        <w:lastRenderedPageBreak/>
        <w:t xml:space="preserve">be </w:t>
      </w:r>
      <w:r w:rsidR="00AC5DBF" w:rsidRPr="00B74333">
        <w:rPr>
          <w:rFonts w:eastAsia="Calibri" w:cstheme="minorHAnsi"/>
          <w:color w:val="000000"/>
          <w:sz w:val="24"/>
          <w:szCs w:val="24"/>
          <w:lang w:bidi="en-US"/>
        </w:rPr>
        <w:t xml:space="preserve">finally </w:t>
      </w:r>
      <w:r w:rsidRPr="00B74333">
        <w:rPr>
          <w:rFonts w:eastAsia="Calibri" w:cstheme="minorHAnsi"/>
          <w:color w:val="000000"/>
          <w:sz w:val="24"/>
          <w:szCs w:val="24"/>
          <w:lang w:bidi="en-US"/>
        </w:rPr>
        <w:t>neutral to DESFA.</w:t>
      </w:r>
    </w:p>
    <w:p w14:paraId="6140BD1D" w14:textId="58DFAEC8" w:rsidR="00192F18" w:rsidRPr="00B74333" w:rsidRDefault="00192F18">
      <w:pPr>
        <w:widowControl w:val="0"/>
        <w:numPr>
          <w:ilvl w:val="1"/>
          <w:numId w:val="45"/>
        </w:numPr>
        <w:tabs>
          <w:tab w:val="left" w:pos="72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As of the fifteenth (15</w:t>
      </w:r>
      <w:r w:rsidR="00805828" w:rsidRPr="00B74333">
        <w:rPr>
          <w:rFonts w:eastAsia="Calibri" w:cstheme="minorHAnsi"/>
          <w:color w:val="000000"/>
          <w:sz w:val="24"/>
          <w:szCs w:val="24"/>
          <w:vertAlign w:val="superscript"/>
          <w:lang w:bidi="en-US"/>
        </w:rPr>
        <w:t>th</w:t>
      </w:r>
      <w:r w:rsidRPr="00B74333">
        <w:rPr>
          <w:rFonts w:eastAsia="Calibri" w:cstheme="minorHAnsi"/>
          <w:color w:val="000000"/>
          <w:sz w:val="24"/>
          <w:szCs w:val="24"/>
          <w:lang w:bidi="en-US"/>
        </w:rPr>
        <w:t xml:space="preserve">) day before the COD, DESFA shall unilaterally issue the respective Approved Firm Service Application(s) in accordance with the </w:t>
      </w:r>
      <w:r w:rsidR="006B44FD"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 xml:space="preserve">Network code and especially its article 8, </w:t>
      </w:r>
      <w:proofErr w:type="gramStart"/>
      <w:r w:rsidRPr="00B74333">
        <w:rPr>
          <w:rFonts w:eastAsia="Calibri" w:cstheme="minorHAnsi"/>
          <w:color w:val="000000"/>
          <w:sz w:val="24"/>
          <w:szCs w:val="24"/>
          <w:lang w:bidi="en-US"/>
        </w:rPr>
        <w:t>on the basis of</w:t>
      </w:r>
      <w:proofErr w:type="gramEnd"/>
      <w:r w:rsidRPr="00B74333">
        <w:rPr>
          <w:rFonts w:eastAsia="Calibri" w:cstheme="minorHAnsi"/>
          <w:color w:val="000000"/>
          <w:sz w:val="24"/>
          <w:szCs w:val="24"/>
          <w:lang w:bidi="en-US"/>
        </w:rPr>
        <w:t xml:space="preserve"> the Allocated Capacity included in the Transportation Confirmation as per </w:t>
      </w:r>
      <w:r w:rsidR="00E94C11" w:rsidRPr="00B74333">
        <w:rPr>
          <w:rFonts w:eastAsia="Calibri" w:cstheme="minorHAnsi"/>
          <w:color w:val="000000"/>
          <w:sz w:val="24"/>
          <w:szCs w:val="24"/>
          <w:lang w:bidi="en-US"/>
        </w:rPr>
        <w:t>Appendix</w:t>
      </w:r>
      <w:r w:rsidRPr="00B74333">
        <w:rPr>
          <w:rFonts w:eastAsia="Calibri" w:cstheme="minorHAnsi"/>
          <w:color w:val="000000"/>
          <w:sz w:val="24"/>
          <w:szCs w:val="24"/>
          <w:lang w:bidi="en-US"/>
        </w:rPr>
        <w:t xml:space="preserve"> I. The Company acknowledges and hereby agrees that such Approved Firm Service Application(s) shall be deemed as Approved Firm Service Application(s) under the </w:t>
      </w:r>
      <w:r w:rsidR="00E4260D" w:rsidRPr="00B74333">
        <w:rPr>
          <w:rFonts w:eastAsia="Calibri" w:cstheme="minorHAnsi"/>
          <w:color w:val="000000"/>
          <w:sz w:val="24"/>
          <w:szCs w:val="24"/>
          <w:lang w:bidi="en-US"/>
        </w:rPr>
        <w:t xml:space="preserve">NNGS Standard </w:t>
      </w:r>
      <w:r w:rsidRPr="00B74333">
        <w:rPr>
          <w:rFonts w:eastAsia="Calibri" w:cstheme="minorHAnsi"/>
          <w:color w:val="000000"/>
          <w:sz w:val="24"/>
          <w:szCs w:val="24"/>
          <w:lang w:bidi="en-US"/>
        </w:rPr>
        <w:t xml:space="preserve">Transmission Agreement and shall have all legal effects thereof under the </w:t>
      </w:r>
      <w:r w:rsidR="006259DD"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 xml:space="preserve">Network Code, Tariff </w:t>
      </w:r>
      <w:proofErr w:type="gramStart"/>
      <w:r w:rsidRPr="00B74333">
        <w:rPr>
          <w:rFonts w:eastAsia="Calibri" w:cstheme="minorHAnsi"/>
          <w:color w:val="000000"/>
          <w:sz w:val="24"/>
          <w:szCs w:val="24"/>
          <w:lang w:bidi="en-US"/>
        </w:rPr>
        <w:t>Regulation</w:t>
      </w:r>
      <w:proofErr w:type="gramEnd"/>
      <w:r w:rsidRPr="00B74333">
        <w:rPr>
          <w:rFonts w:eastAsia="Calibri" w:cstheme="minorHAnsi"/>
          <w:color w:val="000000"/>
          <w:sz w:val="24"/>
          <w:szCs w:val="24"/>
          <w:lang w:bidi="en-US"/>
        </w:rPr>
        <w:t xml:space="preserve"> and applicable Law.</w:t>
      </w:r>
    </w:p>
    <w:p w14:paraId="0BA3DD2D" w14:textId="093BCD00" w:rsidR="00192F18" w:rsidRPr="00B74333" w:rsidRDefault="00192F18">
      <w:pPr>
        <w:widowControl w:val="0"/>
        <w:numPr>
          <w:ilvl w:val="1"/>
          <w:numId w:val="45"/>
        </w:numPr>
        <w:tabs>
          <w:tab w:val="left" w:pos="72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As of the </w:t>
      </w:r>
      <w:r w:rsidR="00C606CB" w:rsidRPr="00B74333">
        <w:rPr>
          <w:rFonts w:eastAsia="Calibri" w:cstheme="minorHAnsi"/>
          <w:color w:val="000000"/>
          <w:sz w:val="24"/>
          <w:szCs w:val="24"/>
          <w:lang w:bidi="en-US"/>
        </w:rPr>
        <w:t xml:space="preserve">date of </w:t>
      </w:r>
      <w:r w:rsidRPr="00B74333">
        <w:rPr>
          <w:rFonts w:eastAsia="Calibri" w:cstheme="minorHAnsi"/>
          <w:color w:val="000000"/>
          <w:sz w:val="24"/>
          <w:szCs w:val="24"/>
          <w:lang w:bidi="en-US"/>
        </w:rPr>
        <w:t xml:space="preserve">announcement of the </w:t>
      </w:r>
      <w:r w:rsidR="00E441E8" w:rsidRPr="00B74333">
        <w:rPr>
          <w:rFonts w:eastAsia="Calibri" w:cstheme="minorHAnsi"/>
          <w:color w:val="000000"/>
          <w:sz w:val="24"/>
          <w:szCs w:val="24"/>
          <w:lang w:bidi="en-US"/>
        </w:rPr>
        <w:t xml:space="preserve">Final Investment Decision </w:t>
      </w:r>
      <w:r w:rsidRPr="00B74333">
        <w:rPr>
          <w:rFonts w:eastAsia="Calibri" w:cstheme="minorHAnsi"/>
          <w:color w:val="000000"/>
          <w:sz w:val="24"/>
          <w:szCs w:val="24"/>
          <w:lang w:bidi="en-US"/>
        </w:rPr>
        <w:t xml:space="preserve">by DESFA the Company shall be liable to DESFA for all applicable transmission charges for the Allocated Capacity with start date from the COD and for full duration for which such Capacity has been allocated to the Company pursuant to the provisions of the Tariff Regulation </w:t>
      </w:r>
      <w:r w:rsidRPr="00B74333" w:rsidDel="007C4B97">
        <w:rPr>
          <w:rFonts w:eastAsia="Calibri" w:cstheme="minorHAnsi"/>
          <w:color w:val="000000"/>
          <w:sz w:val="24"/>
          <w:szCs w:val="24"/>
          <w:lang w:bidi="en-US"/>
        </w:rPr>
        <w:t xml:space="preserve">as well as </w:t>
      </w:r>
      <w:r w:rsidR="003F50D5" w:rsidRPr="00B74333">
        <w:rPr>
          <w:rFonts w:eastAsia="Calibri" w:cstheme="minorHAnsi"/>
          <w:color w:val="000000"/>
          <w:sz w:val="24"/>
          <w:szCs w:val="24"/>
          <w:lang w:bidi="en-US"/>
        </w:rPr>
        <w:t>the</w:t>
      </w:r>
      <w:r w:rsidRPr="00B74333">
        <w:rPr>
          <w:rFonts w:eastAsia="Calibri" w:cstheme="minorHAnsi"/>
          <w:color w:val="000000"/>
          <w:sz w:val="24"/>
          <w:szCs w:val="24"/>
          <w:lang w:bidi="en-US"/>
        </w:rPr>
        <w:t xml:space="preserve"> mandatory premium, if applicable</w:t>
      </w:r>
      <w:r w:rsidR="001C60E6"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 xml:space="preserve">according to </w:t>
      </w:r>
      <w:r w:rsidR="00296155" w:rsidRPr="00B74333">
        <w:rPr>
          <w:rFonts w:eastAsia="Calibri" w:cstheme="minorHAnsi"/>
          <w:color w:val="000000"/>
          <w:sz w:val="24"/>
          <w:szCs w:val="24"/>
          <w:lang w:bidi="en-US"/>
        </w:rPr>
        <w:t>Section</w:t>
      </w:r>
      <w:r w:rsidRPr="00B74333">
        <w:rPr>
          <w:rFonts w:eastAsia="Calibri" w:cstheme="minorHAnsi"/>
          <w:color w:val="000000"/>
          <w:sz w:val="24"/>
          <w:szCs w:val="24"/>
          <w:lang w:bidi="en-US"/>
        </w:rPr>
        <w:t xml:space="preserve"> </w:t>
      </w:r>
      <w:r w:rsidR="00296155" w:rsidRPr="00B74333">
        <w:rPr>
          <w:rFonts w:eastAsia="Calibri" w:cstheme="minorHAnsi"/>
          <w:color w:val="000000"/>
          <w:sz w:val="24"/>
          <w:szCs w:val="24"/>
          <w:lang w:bidi="en-US"/>
        </w:rPr>
        <w:t>5</w:t>
      </w:r>
      <w:r w:rsidRPr="00B74333">
        <w:rPr>
          <w:rFonts w:eastAsia="Calibri" w:cstheme="minorHAnsi"/>
          <w:color w:val="000000"/>
          <w:sz w:val="24"/>
          <w:szCs w:val="24"/>
          <w:lang w:bidi="en-US"/>
        </w:rPr>
        <w:t>.</w:t>
      </w:r>
      <w:r w:rsidR="00543778" w:rsidRPr="00B74333">
        <w:rPr>
          <w:rFonts w:eastAsia="Calibri" w:cstheme="minorHAnsi"/>
          <w:color w:val="000000"/>
          <w:sz w:val="24"/>
          <w:szCs w:val="24"/>
          <w:lang w:bidi="en-US"/>
        </w:rPr>
        <w:t>7</w:t>
      </w:r>
      <w:r w:rsidRPr="00B74333">
        <w:rPr>
          <w:rFonts w:eastAsia="Calibri" w:cstheme="minorHAnsi"/>
          <w:color w:val="000000"/>
          <w:sz w:val="24"/>
          <w:szCs w:val="24"/>
          <w:lang w:bidi="en-US"/>
        </w:rPr>
        <w:t xml:space="preserve"> of the</w:t>
      </w:r>
      <w:r w:rsidR="00296155" w:rsidRPr="00B74333">
        <w:rPr>
          <w:rFonts w:eastAsia="Calibri" w:cstheme="minorHAnsi"/>
          <w:color w:val="000000"/>
          <w:sz w:val="24"/>
          <w:szCs w:val="24"/>
          <w:lang w:bidi="en-US"/>
        </w:rPr>
        <w:t xml:space="preserve"> Guidelines</w:t>
      </w:r>
      <w:r w:rsidRPr="00B74333">
        <w:rPr>
          <w:rFonts w:eastAsia="Calibri" w:cstheme="minorHAnsi"/>
          <w:color w:val="000000"/>
          <w:sz w:val="24"/>
          <w:szCs w:val="24"/>
          <w:lang w:bidi="en-US"/>
        </w:rPr>
        <w:t>. Any amount paid by the Company in the context of the</w:t>
      </w:r>
      <w:r w:rsidR="00F8269F" w:rsidRPr="00B74333">
        <w:rPr>
          <w:rFonts w:eastAsia="Calibri" w:cstheme="minorHAnsi"/>
          <w:color w:val="000000"/>
          <w:sz w:val="24"/>
          <w:szCs w:val="24"/>
          <w:lang w:bidi="en-US"/>
        </w:rPr>
        <w:t xml:space="preserve"> </w:t>
      </w:r>
      <w:r w:rsidR="00AE5E92" w:rsidRPr="00B74333">
        <w:rPr>
          <w:rFonts w:eastAsia="Calibri" w:cstheme="minorHAnsi"/>
          <w:color w:val="000000"/>
          <w:sz w:val="24"/>
          <w:szCs w:val="24"/>
          <w:lang w:bidi="en-US"/>
        </w:rPr>
        <w:t>NNGS</w:t>
      </w:r>
      <w:r w:rsidR="00EE63F1" w:rsidRPr="00B74333">
        <w:rPr>
          <w:rFonts w:eastAsia="Calibri" w:cstheme="minorHAnsi"/>
          <w:color w:val="000000"/>
          <w:sz w:val="24"/>
          <w:szCs w:val="24"/>
          <w:lang w:bidi="en-US"/>
        </w:rPr>
        <w:t xml:space="preserve"> Standard </w:t>
      </w:r>
      <w:r w:rsidRPr="00B74333">
        <w:rPr>
          <w:rFonts w:eastAsia="Calibri" w:cstheme="minorHAnsi"/>
          <w:color w:val="000000"/>
          <w:sz w:val="24"/>
          <w:szCs w:val="24"/>
          <w:lang w:bidi="en-US"/>
        </w:rPr>
        <w:t xml:space="preserve">Transmission Agreement in regard of the Allocated Capacity shall be considered as payment against the amount owed by the Company under this Agreement. Any outstanding amount under this Agreement (i.e. not paid in the context of the </w:t>
      </w:r>
      <w:r w:rsidR="00EE63F1" w:rsidRPr="00B74333">
        <w:rPr>
          <w:rFonts w:eastAsia="Calibri" w:cstheme="minorHAnsi"/>
          <w:color w:val="000000"/>
          <w:sz w:val="24"/>
          <w:szCs w:val="24"/>
          <w:lang w:bidi="en-US"/>
        </w:rPr>
        <w:t xml:space="preserve">NNGS Standard </w:t>
      </w:r>
      <w:r w:rsidRPr="00B74333">
        <w:rPr>
          <w:rFonts w:eastAsia="Calibri" w:cstheme="minorHAnsi"/>
          <w:color w:val="000000"/>
          <w:sz w:val="24"/>
          <w:szCs w:val="24"/>
          <w:lang w:bidi="en-US"/>
        </w:rPr>
        <w:t xml:space="preserve">Transmission Agreement after its termination for any reason) shall continue to be owed to DESFA by the Company and shall be paid upon simple demand by DESFA. DESFA shall also be entitled to make a claim under 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w:t>
      </w:r>
    </w:p>
    <w:p w14:paraId="2868C072" w14:textId="5082706D" w:rsidR="00192F18" w:rsidRPr="00B74333" w:rsidRDefault="00192F18">
      <w:pPr>
        <w:widowControl w:val="0"/>
        <w:numPr>
          <w:ilvl w:val="1"/>
          <w:numId w:val="45"/>
        </w:numPr>
        <w:tabs>
          <w:tab w:val="left" w:pos="728"/>
        </w:tabs>
        <w:spacing w:after="6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Parties shall be bound by the provisions of the </w:t>
      </w:r>
      <w:r w:rsidR="00F01C07" w:rsidRPr="00B74333">
        <w:rPr>
          <w:rFonts w:eastAsia="Calibri" w:cstheme="minorHAnsi"/>
          <w:color w:val="000000"/>
          <w:sz w:val="24"/>
          <w:szCs w:val="24"/>
          <w:lang w:bidi="en-US"/>
        </w:rPr>
        <w:t>Guidelines</w:t>
      </w:r>
      <w:r w:rsidR="00A60F75" w:rsidRPr="00B74333">
        <w:rPr>
          <w:rFonts w:eastAsia="Calibri" w:cstheme="minorHAnsi"/>
          <w:color w:val="000000"/>
          <w:sz w:val="24"/>
          <w:szCs w:val="24"/>
          <w:lang w:bidi="en-US"/>
        </w:rPr>
        <w:t xml:space="preserve">, the </w:t>
      </w:r>
      <w:r w:rsidRPr="00B74333">
        <w:rPr>
          <w:rFonts w:eastAsia="Calibri" w:cstheme="minorHAnsi"/>
          <w:color w:val="000000"/>
          <w:sz w:val="24"/>
          <w:szCs w:val="24"/>
          <w:lang w:bidi="en-US"/>
        </w:rPr>
        <w:t xml:space="preserve">Project </w:t>
      </w:r>
      <w:proofErr w:type="gramStart"/>
      <w:r w:rsidRPr="00B74333">
        <w:rPr>
          <w:rFonts w:eastAsia="Calibri" w:cstheme="minorHAnsi"/>
          <w:color w:val="000000"/>
          <w:sz w:val="24"/>
          <w:szCs w:val="24"/>
          <w:lang w:bidi="en-US"/>
        </w:rPr>
        <w:t>Proposal</w:t>
      </w:r>
      <w:r w:rsidR="00A60F75" w:rsidRPr="00B74333">
        <w:rPr>
          <w:rFonts w:eastAsia="Calibri" w:cstheme="minorHAnsi"/>
          <w:color w:val="000000"/>
          <w:sz w:val="24"/>
          <w:szCs w:val="24"/>
          <w:lang w:bidi="en-US"/>
        </w:rPr>
        <w:t>s</w:t>
      </w:r>
      <w:proofErr w:type="gramEnd"/>
      <w:r w:rsidRPr="00B74333">
        <w:rPr>
          <w:rFonts w:eastAsia="Calibri" w:cstheme="minorHAnsi"/>
          <w:color w:val="000000"/>
          <w:sz w:val="24"/>
          <w:szCs w:val="24"/>
          <w:lang w:bidi="en-US"/>
        </w:rPr>
        <w:t xml:space="preserve"> and the Binding Phase Notice throughout the duration of this Agreement and the</w:t>
      </w:r>
      <w:r w:rsidR="00A60F75" w:rsidRPr="00B74333">
        <w:rPr>
          <w:rFonts w:eastAsia="Calibri" w:cstheme="minorHAnsi"/>
          <w:color w:val="000000"/>
          <w:sz w:val="24"/>
          <w:szCs w:val="24"/>
          <w:lang w:bidi="en-US"/>
        </w:rPr>
        <w:t xml:space="preserve"> NNGS Standard</w:t>
      </w:r>
      <w:r w:rsidRPr="00B74333">
        <w:rPr>
          <w:rFonts w:eastAsia="Calibri" w:cstheme="minorHAnsi"/>
          <w:color w:val="000000"/>
          <w:sz w:val="24"/>
          <w:szCs w:val="24"/>
          <w:lang w:bidi="en-US"/>
        </w:rPr>
        <w:t xml:space="preserve"> Transmission Agreement. In the event of any discrepancy between this Agreement</w:t>
      </w:r>
      <w:r w:rsidR="003A28F9" w:rsidRPr="00B74333">
        <w:rPr>
          <w:rFonts w:eastAsia="Calibri" w:cstheme="minorHAnsi"/>
          <w:color w:val="000000"/>
          <w:sz w:val="24"/>
          <w:szCs w:val="24"/>
          <w:lang w:bidi="en-US"/>
        </w:rPr>
        <w:t xml:space="preserve"> and</w:t>
      </w:r>
      <w:r w:rsidR="00A60F75" w:rsidRPr="00B74333">
        <w:rPr>
          <w:rFonts w:eastAsia="Calibri" w:cstheme="minorHAnsi"/>
          <w:color w:val="000000"/>
          <w:sz w:val="24"/>
          <w:szCs w:val="24"/>
          <w:lang w:bidi="en-US"/>
        </w:rPr>
        <w:t xml:space="preserve"> the Guidelines</w:t>
      </w:r>
      <w:r w:rsidR="003A28F9" w:rsidRPr="00B74333">
        <w:rPr>
          <w:rFonts w:eastAsia="Calibri" w:cstheme="minorHAnsi"/>
          <w:color w:val="000000"/>
          <w:sz w:val="24"/>
          <w:szCs w:val="24"/>
          <w:lang w:bidi="en-US"/>
        </w:rPr>
        <w:t>, this Agreement</w:t>
      </w:r>
      <w:r w:rsidRPr="00B74333">
        <w:rPr>
          <w:rFonts w:eastAsia="Calibri" w:cstheme="minorHAnsi"/>
          <w:color w:val="000000"/>
          <w:sz w:val="24"/>
          <w:szCs w:val="24"/>
          <w:lang w:bidi="en-US"/>
        </w:rPr>
        <w:t xml:space="preserve"> and the Project proposal</w:t>
      </w:r>
      <w:r w:rsidR="00A60F75" w:rsidRPr="00B74333">
        <w:rPr>
          <w:rFonts w:eastAsia="Calibri" w:cstheme="minorHAnsi"/>
          <w:color w:val="000000"/>
          <w:sz w:val="24"/>
          <w:szCs w:val="24"/>
          <w:lang w:bidi="en-US"/>
        </w:rPr>
        <w:t>s</w:t>
      </w:r>
      <w:r w:rsidRPr="00B74333">
        <w:rPr>
          <w:rFonts w:eastAsia="Calibri" w:cstheme="minorHAnsi"/>
          <w:color w:val="000000"/>
          <w:sz w:val="24"/>
          <w:szCs w:val="24"/>
          <w:lang w:bidi="en-US"/>
        </w:rPr>
        <w:t xml:space="preserve"> or this Agreement and the Binding Phase Notice, this Agreement prevails.</w:t>
      </w:r>
    </w:p>
    <w:p w14:paraId="55AB98A0" w14:textId="316519E6" w:rsidR="00192F18" w:rsidRPr="00B74333" w:rsidRDefault="00192F18">
      <w:pPr>
        <w:keepNext/>
        <w:keepLines/>
        <w:widowControl w:val="0"/>
        <w:numPr>
          <w:ilvl w:val="0"/>
          <w:numId w:val="42"/>
        </w:numPr>
        <w:tabs>
          <w:tab w:val="left" w:pos="956"/>
        </w:tabs>
        <w:spacing w:after="80" w:line="254" w:lineRule="auto"/>
        <w:jc w:val="center"/>
        <w:outlineLvl w:val="3"/>
        <w:rPr>
          <w:rFonts w:eastAsia="Calibri" w:cstheme="minorHAnsi"/>
          <w:b/>
          <w:color w:val="000000"/>
          <w:sz w:val="24"/>
          <w:szCs w:val="24"/>
          <w:lang w:bidi="en-US"/>
        </w:rPr>
      </w:pPr>
      <w:bookmarkStart w:id="100" w:name="bookmark36"/>
      <w:r w:rsidRPr="00B74333">
        <w:rPr>
          <w:rFonts w:eastAsia="Calibri" w:cstheme="minorHAnsi"/>
          <w:b/>
          <w:color w:val="000000"/>
          <w:sz w:val="24"/>
          <w:szCs w:val="24"/>
          <w:lang w:bidi="en-US"/>
        </w:rPr>
        <w:t>Term and termination</w:t>
      </w:r>
      <w:bookmarkEnd w:id="100"/>
    </w:p>
    <w:p w14:paraId="330B0958" w14:textId="77777777" w:rsidR="00192F18" w:rsidRPr="00B74333" w:rsidRDefault="00192F18">
      <w:pPr>
        <w:widowControl w:val="0"/>
        <w:numPr>
          <w:ilvl w:val="1"/>
          <w:numId w:val="47"/>
        </w:numPr>
        <w:tabs>
          <w:tab w:val="left" w:pos="72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This Agreement starts on the Effective Date and shall remain in force until terminated pursuant to Articles 3.2, 3.3 and 3.5, subject to Article 3.6 below.</w:t>
      </w:r>
    </w:p>
    <w:p w14:paraId="497238EE" w14:textId="77777777" w:rsidR="00192F18" w:rsidRPr="00B74333" w:rsidRDefault="00192F18">
      <w:pPr>
        <w:widowControl w:val="0"/>
        <w:numPr>
          <w:ilvl w:val="1"/>
          <w:numId w:val="47"/>
        </w:numPr>
        <w:tabs>
          <w:tab w:val="left" w:pos="72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This Agreement shall be terminated at the earlier to occur of:</w:t>
      </w:r>
    </w:p>
    <w:p w14:paraId="3DFED2A2" w14:textId="4DAF9EAA" w:rsidR="00192F18" w:rsidRPr="00B74333" w:rsidRDefault="00192F18">
      <w:pPr>
        <w:widowControl w:val="0"/>
        <w:numPr>
          <w:ilvl w:val="0"/>
          <w:numId w:val="48"/>
        </w:numPr>
        <w:tabs>
          <w:tab w:val="left" w:pos="72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written Notice by DESFA at the last day of the sixth month succeeding the end of the first Gas Year for which Capacity has been allocated to the Company according to the Transportation Confirmation attached in </w:t>
      </w:r>
      <w:r w:rsidR="00E94C11" w:rsidRPr="00B74333">
        <w:rPr>
          <w:rFonts w:eastAsia="Calibri" w:cstheme="minorHAnsi"/>
          <w:color w:val="000000"/>
          <w:sz w:val="24"/>
          <w:szCs w:val="24"/>
          <w:lang w:bidi="en-US"/>
        </w:rPr>
        <w:t>Appendix</w:t>
      </w:r>
      <w:r w:rsidRPr="00B74333">
        <w:rPr>
          <w:rFonts w:eastAsia="Calibri" w:cstheme="minorHAnsi"/>
          <w:color w:val="000000"/>
          <w:sz w:val="24"/>
          <w:szCs w:val="24"/>
          <w:lang w:bidi="en-US"/>
        </w:rPr>
        <w:t xml:space="preserve"> I</w:t>
      </w:r>
      <w:r w:rsidR="000828B6" w:rsidRPr="00B74333">
        <w:rPr>
          <w:rFonts w:eastAsia="Calibri" w:cstheme="minorHAnsi"/>
          <w:color w:val="000000"/>
          <w:sz w:val="24"/>
          <w:szCs w:val="24"/>
          <w:lang w:bidi="en-US"/>
        </w:rPr>
        <w:t xml:space="preserve">, subject to Article </w:t>
      </w:r>
      <w:proofErr w:type="gramStart"/>
      <w:r w:rsidR="000828B6" w:rsidRPr="00B74333">
        <w:rPr>
          <w:rFonts w:eastAsia="Calibri" w:cstheme="minorHAnsi"/>
          <w:color w:val="000000"/>
          <w:sz w:val="24"/>
          <w:szCs w:val="24"/>
          <w:lang w:bidi="en-US"/>
        </w:rPr>
        <w:t>3.6</w:t>
      </w:r>
      <w:r w:rsidRPr="00B74333">
        <w:rPr>
          <w:rFonts w:eastAsia="Calibri" w:cstheme="minorHAnsi"/>
          <w:color w:val="000000"/>
          <w:sz w:val="24"/>
          <w:szCs w:val="24"/>
          <w:lang w:bidi="en-US"/>
        </w:rPr>
        <w:t>;</w:t>
      </w:r>
      <w:proofErr w:type="gramEnd"/>
    </w:p>
    <w:p w14:paraId="2E024D95" w14:textId="4FF8EE0C" w:rsidR="00556486" w:rsidRPr="00B74333" w:rsidRDefault="00192F18">
      <w:pPr>
        <w:widowControl w:val="0"/>
        <w:numPr>
          <w:ilvl w:val="0"/>
          <w:numId w:val="48"/>
        </w:numPr>
        <w:tabs>
          <w:tab w:val="left" w:pos="72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written Notice by DESFA in case any of the Participants that have been Allocated Capacity for the DESFA Part of the Project, upon successful participation in the Binding Bid</w:t>
      </w:r>
      <w:r w:rsidR="00793A42" w:rsidRPr="00B74333">
        <w:rPr>
          <w:rFonts w:eastAsia="Calibri" w:cstheme="minorHAnsi"/>
          <w:color w:val="000000"/>
          <w:sz w:val="24"/>
          <w:szCs w:val="24"/>
          <w:lang w:bidi="en-US"/>
        </w:rPr>
        <w:t>ding</w:t>
      </w:r>
      <w:r w:rsidRPr="00B74333">
        <w:rPr>
          <w:rFonts w:eastAsia="Calibri" w:cstheme="minorHAnsi"/>
          <w:color w:val="000000"/>
          <w:sz w:val="24"/>
          <w:szCs w:val="24"/>
          <w:lang w:bidi="en-US"/>
        </w:rPr>
        <w:t xml:space="preserve"> Phase of the </w:t>
      </w:r>
      <w:r w:rsidR="00FD5DF4" w:rsidRPr="00B74333">
        <w:rPr>
          <w:rFonts w:eastAsia="Calibri" w:cstheme="minorHAnsi"/>
          <w:color w:val="000000"/>
          <w:sz w:val="24"/>
          <w:szCs w:val="24"/>
          <w:lang w:bidi="en-US"/>
        </w:rPr>
        <w:t>Market Test</w:t>
      </w:r>
      <w:r w:rsidRPr="00B74333">
        <w:rPr>
          <w:rFonts w:eastAsia="Calibri" w:cstheme="minorHAnsi"/>
          <w:color w:val="000000"/>
          <w:sz w:val="24"/>
          <w:szCs w:val="24"/>
          <w:lang w:bidi="en-US"/>
        </w:rPr>
        <w:t xml:space="preserve"> </w:t>
      </w:r>
      <w:r w:rsidR="00141CBE" w:rsidRPr="00B74333">
        <w:rPr>
          <w:rFonts w:eastAsia="Calibri" w:cstheme="minorHAnsi"/>
          <w:color w:val="000000"/>
          <w:sz w:val="24"/>
          <w:szCs w:val="24"/>
          <w:lang w:bidi="en-US"/>
        </w:rPr>
        <w:t>P</w:t>
      </w:r>
      <w:r w:rsidRPr="00B74333">
        <w:rPr>
          <w:rFonts w:eastAsia="Calibri" w:cstheme="minorHAnsi"/>
          <w:color w:val="000000"/>
          <w:sz w:val="24"/>
          <w:szCs w:val="24"/>
          <w:lang w:bidi="en-US"/>
        </w:rPr>
        <w:t>rocess,</w:t>
      </w:r>
    </w:p>
    <w:p w14:paraId="07CC6099" w14:textId="77777777" w:rsidR="00556486" w:rsidRPr="00B74333" w:rsidRDefault="006A7F9E" w:rsidP="00556486">
      <w:pPr>
        <w:widowControl w:val="0"/>
        <w:tabs>
          <w:tab w:val="left" w:pos="728"/>
        </w:tabs>
        <w:spacing w:after="140" w:line="257" w:lineRule="auto"/>
        <w:ind w:left="720"/>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(i) </w:t>
      </w:r>
      <w:r w:rsidR="00192F18" w:rsidRPr="00B74333">
        <w:rPr>
          <w:rFonts w:eastAsia="Calibri" w:cstheme="minorHAnsi"/>
          <w:color w:val="000000"/>
          <w:sz w:val="24"/>
          <w:szCs w:val="24"/>
          <w:lang w:bidi="en-US"/>
        </w:rPr>
        <w:t xml:space="preserve">have not executed their respective GTAs with either DESFA or </w:t>
      </w:r>
      <w:r w:rsidR="00FD5DF4" w:rsidRPr="00B74333">
        <w:rPr>
          <w:rFonts w:eastAsia="Calibri" w:cstheme="minorHAnsi"/>
          <w:color w:val="000000"/>
          <w:sz w:val="24"/>
          <w:szCs w:val="24"/>
          <w:lang w:bidi="en-US"/>
        </w:rPr>
        <w:t>the TSOs Concerned</w:t>
      </w:r>
      <w:r w:rsidR="00F401C6" w:rsidRPr="00B74333">
        <w:rPr>
          <w:rFonts w:eastAsia="Calibri" w:cstheme="minorHAnsi"/>
          <w:color w:val="000000"/>
          <w:sz w:val="24"/>
          <w:szCs w:val="24"/>
          <w:lang w:bidi="en-US"/>
        </w:rPr>
        <w:t xml:space="preserve"> </w:t>
      </w:r>
      <w:r w:rsidR="00192F18" w:rsidRPr="00B74333">
        <w:rPr>
          <w:rFonts w:eastAsia="Calibri" w:cstheme="minorHAnsi"/>
          <w:color w:val="000000"/>
          <w:sz w:val="24"/>
          <w:szCs w:val="24"/>
          <w:lang w:bidi="en-US"/>
        </w:rPr>
        <w:t xml:space="preserve">by </w:t>
      </w:r>
      <w:r w:rsidR="00546615" w:rsidRPr="00B74333">
        <w:rPr>
          <w:rFonts w:eastAsia="Calibri" w:cstheme="minorHAnsi"/>
          <w:color w:val="000000"/>
          <w:sz w:val="24"/>
          <w:szCs w:val="24"/>
          <w:lang w:bidi="en-US"/>
        </w:rPr>
        <w:t>the GTA Execution Deadline</w:t>
      </w:r>
      <w:r w:rsidR="00192F18" w:rsidRPr="00B74333">
        <w:rPr>
          <w:rFonts w:eastAsia="Calibri" w:cstheme="minorHAnsi"/>
          <w:color w:val="000000"/>
          <w:sz w:val="24"/>
          <w:szCs w:val="24"/>
          <w:lang w:bidi="en-US"/>
        </w:rPr>
        <w:t xml:space="preserve">, as the former notified by the latter by said date </w:t>
      </w:r>
      <w:proofErr w:type="gramStart"/>
      <w:r w:rsidR="00192F18" w:rsidRPr="00B74333">
        <w:rPr>
          <w:rFonts w:eastAsia="Calibri" w:cstheme="minorHAnsi"/>
          <w:color w:val="000000"/>
          <w:sz w:val="24"/>
          <w:szCs w:val="24"/>
          <w:lang w:bidi="en-US"/>
        </w:rPr>
        <w:t xml:space="preserve">in </w:t>
      </w:r>
      <w:r w:rsidR="00192F18" w:rsidRPr="00B74333">
        <w:rPr>
          <w:rFonts w:eastAsia="Calibri" w:cstheme="minorHAnsi"/>
          <w:color w:val="000000"/>
          <w:sz w:val="24"/>
          <w:szCs w:val="24"/>
          <w:lang w:bidi="en-US"/>
        </w:rPr>
        <w:lastRenderedPageBreak/>
        <w:t>regard to</w:t>
      </w:r>
      <w:proofErr w:type="gramEnd"/>
      <w:r w:rsidR="00192F18" w:rsidRPr="00B74333">
        <w:rPr>
          <w:rFonts w:eastAsia="Calibri" w:cstheme="minorHAnsi"/>
          <w:color w:val="000000"/>
          <w:sz w:val="24"/>
          <w:szCs w:val="24"/>
          <w:lang w:bidi="en-US"/>
        </w:rPr>
        <w:t xml:space="preserve"> the execution of the GTAs relevant to </w:t>
      </w:r>
      <w:r w:rsidR="007E2705" w:rsidRPr="00B74333">
        <w:rPr>
          <w:rFonts w:eastAsia="Calibri" w:cstheme="minorHAnsi"/>
          <w:color w:val="000000"/>
          <w:sz w:val="24"/>
          <w:szCs w:val="24"/>
          <w:lang w:bidi="en-US"/>
        </w:rPr>
        <w:t>the TSOs Concerned</w:t>
      </w:r>
      <w:r w:rsidR="003F5000" w:rsidRPr="00B74333">
        <w:rPr>
          <w:rFonts w:eastAsia="Calibri" w:cstheme="minorHAnsi"/>
          <w:color w:val="000000"/>
          <w:sz w:val="24"/>
          <w:szCs w:val="24"/>
          <w:lang w:bidi="en-US"/>
        </w:rPr>
        <w:t xml:space="preserve"> or</w:t>
      </w:r>
    </w:p>
    <w:p w14:paraId="086614A7" w14:textId="64FB7D85" w:rsidR="00607C62" w:rsidRPr="00B74333" w:rsidRDefault="00B5460F" w:rsidP="00556486">
      <w:pPr>
        <w:widowControl w:val="0"/>
        <w:tabs>
          <w:tab w:val="left" w:pos="728"/>
        </w:tabs>
        <w:spacing w:after="140" w:line="257" w:lineRule="auto"/>
        <w:ind w:left="720"/>
        <w:jc w:val="both"/>
        <w:rPr>
          <w:rFonts w:eastAsia="Calibri" w:cstheme="minorHAnsi"/>
          <w:color w:val="000000"/>
          <w:sz w:val="24"/>
          <w:szCs w:val="24"/>
          <w:lang w:bidi="en-US"/>
        </w:rPr>
      </w:pPr>
      <w:r w:rsidRPr="00B74333">
        <w:rPr>
          <w:rFonts w:eastAsia="Calibri" w:cstheme="minorHAnsi"/>
          <w:color w:val="000000"/>
          <w:sz w:val="24"/>
          <w:szCs w:val="24"/>
          <w:lang w:bidi="en-US"/>
        </w:rPr>
        <w:t>(i</w:t>
      </w:r>
      <w:r w:rsidR="006A7F9E" w:rsidRPr="00B74333">
        <w:rPr>
          <w:rFonts w:eastAsia="Calibri" w:cstheme="minorHAnsi"/>
          <w:color w:val="000000"/>
          <w:sz w:val="24"/>
          <w:szCs w:val="24"/>
          <w:lang w:bidi="en-US"/>
        </w:rPr>
        <w:t>i</w:t>
      </w:r>
      <w:r w:rsidRPr="00B74333">
        <w:rPr>
          <w:rFonts w:eastAsia="Calibri" w:cstheme="minorHAnsi"/>
          <w:color w:val="000000"/>
          <w:sz w:val="24"/>
          <w:szCs w:val="24"/>
          <w:lang w:bidi="en-US"/>
        </w:rPr>
        <w:t>)</w:t>
      </w:r>
      <w:r w:rsidR="006A7F9E" w:rsidRPr="00B74333">
        <w:rPr>
          <w:rFonts w:eastAsia="Calibri" w:cstheme="minorHAnsi"/>
          <w:color w:val="000000"/>
          <w:sz w:val="24"/>
          <w:szCs w:val="24"/>
          <w:lang w:bidi="en-US"/>
        </w:rPr>
        <w:t xml:space="preserve"> </w:t>
      </w:r>
      <w:r w:rsidR="00092454" w:rsidRPr="00B74333">
        <w:rPr>
          <w:rFonts w:eastAsia="Calibri" w:cstheme="minorHAnsi"/>
          <w:color w:val="000000"/>
          <w:sz w:val="24"/>
          <w:szCs w:val="24"/>
          <w:lang w:bidi="en-US"/>
        </w:rPr>
        <w:t xml:space="preserve">have executed their respective GTAs with DESFA </w:t>
      </w:r>
      <w:r w:rsidR="00D4111D" w:rsidRPr="00B74333">
        <w:rPr>
          <w:rFonts w:eastAsia="Calibri" w:cstheme="minorHAnsi"/>
          <w:color w:val="000000"/>
          <w:sz w:val="24"/>
          <w:szCs w:val="24"/>
          <w:lang w:bidi="en-US"/>
        </w:rPr>
        <w:t xml:space="preserve">by the GTA Execution Deadline </w:t>
      </w:r>
      <w:r w:rsidR="00092454" w:rsidRPr="00B74333">
        <w:rPr>
          <w:rFonts w:eastAsia="Calibri" w:cstheme="minorHAnsi"/>
          <w:color w:val="000000"/>
          <w:sz w:val="24"/>
          <w:szCs w:val="24"/>
          <w:lang w:bidi="en-US"/>
        </w:rPr>
        <w:t xml:space="preserve">but </w:t>
      </w:r>
      <w:r w:rsidR="00A44F53" w:rsidRPr="00B74333">
        <w:rPr>
          <w:rFonts w:eastAsia="Calibri" w:cstheme="minorHAnsi"/>
          <w:color w:val="000000"/>
          <w:sz w:val="24"/>
          <w:szCs w:val="24"/>
          <w:lang w:bidi="en-US"/>
        </w:rPr>
        <w:t xml:space="preserve">have </w:t>
      </w:r>
      <w:r w:rsidR="00A44F53" w:rsidRPr="00B74333">
        <w:rPr>
          <w:rFonts w:eastAsia="Calibri" w:cstheme="minorHAnsi"/>
          <w:color w:val="000000" w:themeColor="text1"/>
          <w:sz w:val="24"/>
          <w:szCs w:val="24"/>
          <w:lang w:bidi="en-US"/>
        </w:rPr>
        <w:t xml:space="preserve">declared the termination of the GTA by exercising the step-out option </w:t>
      </w:r>
      <w:r w:rsidR="00D4111D" w:rsidRPr="00B74333">
        <w:rPr>
          <w:rFonts w:eastAsia="Calibri" w:cstheme="minorHAnsi"/>
          <w:color w:val="000000"/>
          <w:sz w:val="24"/>
          <w:szCs w:val="24"/>
          <w:lang w:bidi="en-US"/>
        </w:rPr>
        <w:t>by the Step</w:t>
      </w:r>
      <w:r w:rsidR="00D06CEA" w:rsidRPr="00B74333">
        <w:rPr>
          <w:rFonts w:eastAsia="Calibri" w:cstheme="minorHAnsi"/>
          <w:color w:val="000000"/>
          <w:sz w:val="24"/>
          <w:szCs w:val="24"/>
          <w:lang w:bidi="en-US"/>
        </w:rPr>
        <w:t xml:space="preserve">-out </w:t>
      </w:r>
      <w:r w:rsidR="00D4111D" w:rsidRPr="00B74333">
        <w:rPr>
          <w:rFonts w:eastAsia="Calibri" w:cstheme="minorHAnsi"/>
          <w:color w:val="000000"/>
          <w:sz w:val="24"/>
          <w:szCs w:val="24"/>
          <w:lang w:bidi="en-US"/>
        </w:rPr>
        <w:t>Deadline</w:t>
      </w:r>
      <w:r w:rsidR="00D4111D" w:rsidRPr="00B74333">
        <w:rPr>
          <w:rFonts w:eastAsia="Calibri" w:cstheme="minorHAnsi"/>
          <w:color w:val="000000" w:themeColor="text1"/>
          <w:sz w:val="24"/>
          <w:szCs w:val="24"/>
          <w:lang w:bidi="en-US"/>
        </w:rPr>
        <w:t xml:space="preserve"> </w:t>
      </w:r>
      <w:r w:rsidR="00A44F53" w:rsidRPr="00B74333">
        <w:rPr>
          <w:rFonts w:eastAsia="Calibri" w:cstheme="minorHAnsi"/>
          <w:color w:val="000000" w:themeColor="text1"/>
          <w:sz w:val="24"/>
          <w:szCs w:val="24"/>
          <w:lang w:bidi="en-US"/>
        </w:rPr>
        <w:t>pursuant to Section 5.7 of the Guidelines</w:t>
      </w:r>
      <w:r w:rsidR="00192F18" w:rsidRPr="00B74333">
        <w:rPr>
          <w:rFonts w:eastAsia="Calibri" w:cstheme="minorHAnsi"/>
          <w:color w:val="000000"/>
          <w:sz w:val="24"/>
          <w:szCs w:val="24"/>
          <w:lang w:bidi="en-US"/>
        </w:rPr>
        <w:t>.</w:t>
      </w:r>
    </w:p>
    <w:p w14:paraId="73E37853" w14:textId="602DFF7D" w:rsidR="00192F18" w:rsidRPr="00B74333" w:rsidRDefault="00192F18" w:rsidP="00753BF1">
      <w:pPr>
        <w:widowControl w:val="0"/>
        <w:tabs>
          <w:tab w:val="left" w:pos="728"/>
        </w:tabs>
        <w:spacing w:after="140" w:line="257" w:lineRule="auto"/>
        <w:jc w:val="both"/>
        <w:rPr>
          <w:rFonts w:eastAsia="Calibri" w:cstheme="minorHAnsi"/>
          <w:color w:val="000000"/>
          <w:sz w:val="24"/>
          <w:szCs w:val="24"/>
          <w:lang w:bidi="en-US"/>
        </w:rPr>
      </w:pPr>
      <w:r w:rsidRPr="00B74333">
        <w:rPr>
          <w:rFonts w:eastAsia="Calibri"/>
          <w:color w:val="000000" w:themeColor="text1"/>
          <w:sz w:val="24"/>
          <w:szCs w:val="24"/>
          <w:lang w:bidi="en-US"/>
        </w:rPr>
        <w:t xml:space="preserve">For the avoidance of doubt, DESFA may not issue such a Notice in case the </w:t>
      </w:r>
      <w:r w:rsidR="00777928" w:rsidRPr="00B74333">
        <w:rPr>
          <w:rFonts w:eastAsia="Calibri"/>
          <w:color w:val="000000" w:themeColor="text1"/>
          <w:sz w:val="24"/>
          <w:szCs w:val="24"/>
          <w:lang w:bidi="en-US"/>
        </w:rPr>
        <w:t>non-execution</w:t>
      </w:r>
      <w:r w:rsidRPr="00B74333">
        <w:rPr>
          <w:rFonts w:eastAsia="Calibri"/>
          <w:color w:val="000000" w:themeColor="text1"/>
          <w:sz w:val="24"/>
          <w:szCs w:val="24"/>
          <w:lang w:bidi="en-US"/>
        </w:rPr>
        <w:t xml:space="preserve"> of one or more of the GTAs </w:t>
      </w:r>
      <w:r w:rsidR="00DE4F08" w:rsidRPr="00B74333">
        <w:rPr>
          <w:rFonts w:eastAsia="Calibri"/>
          <w:color w:val="000000" w:themeColor="text1"/>
          <w:sz w:val="24"/>
          <w:szCs w:val="24"/>
          <w:lang w:bidi="en-US"/>
        </w:rPr>
        <w:t>or the</w:t>
      </w:r>
      <w:r w:rsidR="00101D82" w:rsidRPr="00B74333">
        <w:rPr>
          <w:rFonts w:eastAsia="Calibri"/>
          <w:color w:val="000000" w:themeColor="text1"/>
          <w:sz w:val="24"/>
          <w:szCs w:val="24"/>
          <w:lang w:bidi="en-US"/>
        </w:rPr>
        <w:t xml:space="preserve"> exercise of </w:t>
      </w:r>
      <w:r w:rsidR="001B7302" w:rsidRPr="00B74333">
        <w:rPr>
          <w:rFonts w:eastAsia="Calibri"/>
          <w:color w:val="000000" w:themeColor="text1"/>
          <w:sz w:val="24"/>
          <w:szCs w:val="24"/>
          <w:lang w:bidi="en-US"/>
        </w:rPr>
        <w:t>said</w:t>
      </w:r>
      <w:r w:rsidR="00101D82" w:rsidRPr="00B74333">
        <w:rPr>
          <w:rFonts w:eastAsia="Calibri"/>
          <w:color w:val="000000" w:themeColor="text1"/>
          <w:sz w:val="24"/>
          <w:szCs w:val="24"/>
          <w:lang w:bidi="en-US"/>
        </w:rPr>
        <w:t xml:space="preserve"> step-out option for one or more of the GTAs </w:t>
      </w:r>
      <w:r w:rsidRPr="00B74333">
        <w:rPr>
          <w:rFonts w:eastAsia="Calibri"/>
          <w:color w:val="000000" w:themeColor="text1"/>
          <w:sz w:val="24"/>
          <w:szCs w:val="24"/>
          <w:lang w:bidi="en-US"/>
        </w:rPr>
        <w:t xml:space="preserve">does not alter the result of the EVT to negative and upon consultation with </w:t>
      </w:r>
      <w:r w:rsidR="00CD5B50" w:rsidRPr="00B74333">
        <w:rPr>
          <w:rFonts w:eastAsia="Calibri"/>
          <w:color w:val="000000" w:themeColor="text1"/>
          <w:sz w:val="24"/>
          <w:szCs w:val="24"/>
          <w:lang w:bidi="en-US"/>
        </w:rPr>
        <w:t>RAEW</w:t>
      </w:r>
      <w:r w:rsidR="00F401C6" w:rsidRPr="00B74333">
        <w:rPr>
          <w:rFonts w:eastAsia="Calibri"/>
          <w:color w:val="000000" w:themeColor="text1"/>
          <w:sz w:val="24"/>
          <w:szCs w:val="24"/>
          <w:lang w:bidi="en-US"/>
        </w:rPr>
        <w:t>W</w:t>
      </w:r>
      <w:r w:rsidRPr="00B74333">
        <w:rPr>
          <w:rFonts w:eastAsia="Calibri"/>
          <w:color w:val="000000" w:themeColor="text1"/>
          <w:sz w:val="24"/>
          <w:szCs w:val="24"/>
          <w:lang w:bidi="en-US"/>
        </w:rPr>
        <w:t>.</w:t>
      </w:r>
    </w:p>
    <w:p w14:paraId="788C026F" w14:textId="77777777" w:rsidR="00192F18" w:rsidRPr="00B74333" w:rsidRDefault="00192F18">
      <w:pPr>
        <w:widowControl w:val="0"/>
        <w:numPr>
          <w:ilvl w:val="0"/>
          <w:numId w:val="48"/>
        </w:numPr>
        <w:tabs>
          <w:tab w:val="left" w:pos="721"/>
        </w:tabs>
        <w:spacing w:after="140" w:line="254" w:lineRule="auto"/>
        <w:jc w:val="both"/>
        <w:rPr>
          <w:rFonts w:eastAsia="Calibri" w:cstheme="minorHAnsi"/>
          <w:color w:val="000000"/>
          <w:sz w:val="24"/>
          <w:szCs w:val="24"/>
          <w:lang w:bidi="en-US"/>
        </w:rPr>
      </w:pPr>
      <w:r w:rsidRPr="00B74333">
        <w:rPr>
          <w:rFonts w:eastAsia="Calibri"/>
          <w:color w:val="000000" w:themeColor="text1"/>
          <w:sz w:val="24"/>
          <w:szCs w:val="24"/>
          <w:lang w:bidi="en-US"/>
        </w:rPr>
        <w:t xml:space="preserve">written Notice by a Party in case the other Party </w:t>
      </w:r>
      <w:proofErr w:type="gramStart"/>
      <w:r w:rsidRPr="00B74333">
        <w:rPr>
          <w:rFonts w:eastAsia="Calibri"/>
          <w:color w:val="000000" w:themeColor="text1"/>
          <w:sz w:val="24"/>
          <w:szCs w:val="24"/>
          <w:lang w:bidi="en-US"/>
        </w:rPr>
        <w:t>enters into</w:t>
      </w:r>
      <w:proofErr w:type="gramEnd"/>
      <w:r w:rsidRPr="00B74333">
        <w:rPr>
          <w:rFonts w:eastAsia="Calibri"/>
          <w:color w:val="000000" w:themeColor="text1"/>
          <w:sz w:val="24"/>
          <w:szCs w:val="24"/>
          <w:lang w:bidi="en-US"/>
        </w:rPr>
        <w:t xml:space="preserve"> insolvency, bankruptcy, reorganization or similar proceedings under applicable Law, and is unable to pay its debts within the meaning of the applicable insolvency legislation or ceases to pay its debts as they fall due.</w:t>
      </w:r>
    </w:p>
    <w:p w14:paraId="5DA1AF78" w14:textId="64778998" w:rsidR="00D224E3" w:rsidRPr="00B74333" w:rsidRDefault="00BC4631">
      <w:pPr>
        <w:widowControl w:val="0"/>
        <w:numPr>
          <w:ilvl w:val="0"/>
          <w:numId w:val="48"/>
        </w:numPr>
        <w:tabs>
          <w:tab w:val="left" w:pos="721"/>
        </w:tabs>
        <w:spacing w:after="140" w:line="254" w:lineRule="auto"/>
        <w:jc w:val="both"/>
        <w:rPr>
          <w:rFonts w:eastAsia="Calibri" w:cstheme="minorHAnsi"/>
          <w:color w:val="000000"/>
          <w:sz w:val="24"/>
          <w:szCs w:val="24"/>
          <w:lang w:bidi="en-US"/>
        </w:rPr>
      </w:pPr>
      <w:r w:rsidRPr="00B74333">
        <w:rPr>
          <w:rFonts w:eastAsia="Calibri"/>
          <w:color w:val="000000" w:themeColor="text1"/>
          <w:sz w:val="24"/>
          <w:szCs w:val="24"/>
          <w:lang w:bidi="en-US"/>
        </w:rPr>
        <w:t xml:space="preserve">written Notice by the Company </w:t>
      </w:r>
      <w:r w:rsidR="006F6E0C" w:rsidRPr="00B74333">
        <w:rPr>
          <w:rFonts w:eastAsia="Calibri"/>
          <w:color w:val="000000" w:themeColor="text1"/>
          <w:sz w:val="24"/>
          <w:szCs w:val="24"/>
          <w:lang w:bidi="en-US"/>
        </w:rPr>
        <w:t xml:space="preserve">declaring </w:t>
      </w:r>
      <w:r w:rsidR="006421C8" w:rsidRPr="00B74333">
        <w:rPr>
          <w:rFonts w:eastAsia="Calibri"/>
          <w:color w:val="000000" w:themeColor="text1"/>
          <w:sz w:val="24"/>
          <w:szCs w:val="24"/>
          <w:lang w:bidi="en-US"/>
        </w:rPr>
        <w:t xml:space="preserve">the termination of </w:t>
      </w:r>
      <w:r w:rsidR="001A074D" w:rsidRPr="00B74333">
        <w:rPr>
          <w:rFonts w:eastAsia="Calibri"/>
          <w:color w:val="000000" w:themeColor="text1"/>
          <w:sz w:val="24"/>
          <w:szCs w:val="24"/>
          <w:lang w:bidi="en-US"/>
        </w:rPr>
        <w:t>the GTA</w:t>
      </w:r>
      <w:r w:rsidR="00203A2D" w:rsidRPr="00B74333">
        <w:rPr>
          <w:rFonts w:eastAsia="Calibri"/>
          <w:color w:val="000000" w:themeColor="text1"/>
          <w:sz w:val="24"/>
          <w:szCs w:val="24"/>
          <w:lang w:bidi="en-US"/>
        </w:rPr>
        <w:t xml:space="preserve"> by</w:t>
      </w:r>
      <w:r w:rsidR="001A074D" w:rsidRPr="00B74333">
        <w:rPr>
          <w:rFonts w:eastAsia="Calibri"/>
          <w:color w:val="000000" w:themeColor="text1"/>
          <w:sz w:val="24"/>
          <w:szCs w:val="24"/>
          <w:lang w:bidi="en-US"/>
        </w:rPr>
        <w:t xml:space="preserve"> </w:t>
      </w:r>
      <w:r w:rsidR="003E3036" w:rsidRPr="00B74333">
        <w:rPr>
          <w:rFonts w:eastAsia="Calibri"/>
          <w:color w:val="000000" w:themeColor="text1"/>
          <w:sz w:val="24"/>
          <w:szCs w:val="24"/>
          <w:lang w:bidi="en-US"/>
        </w:rPr>
        <w:t xml:space="preserve">exercising </w:t>
      </w:r>
      <w:r w:rsidR="001D7BB4" w:rsidRPr="00B74333">
        <w:rPr>
          <w:rFonts w:eastAsia="Calibri"/>
          <w:color w:val="000000" w:themeColor="text1"/>
          <w:sz w:val="24"/>
          <w:szCs w:val="24"/>
          <w:lang w:bidi="en-US"/>
        </w:rPr>
        <w:t xml:space="preserve">the step-out option </w:t>
      </w:r>
      <w:r w:rsidR="009C61E3" w:rsidRPr="00B74333">
        <w:rPr>
          <w:rFonts w:eastAsia="Calibri"/>
          <w:color w:val="000000" w:themeColor="text1"/>
          <w:sz w:val="24"/>
          <w:szCs w:val="24"/>
          <w:lang w:bidi="en-US"/>
        </w:rPr>
        <w:t xml:space="preserve">pursuant to </w:t>
      </w:r>
      <w:r w:rsidR="00E74666" w:rsidRPr="00B74333">
        <w:rPr>
          <w:rFonts w:eastAsia="Calibri"/>
          <w:color w:val="000000" w:themeColor="text1"/>
          <w:sz w:val="24"/>
          <w:szCs w:val="24"/>
          <w:lang w:bidi="en-US"/>
        </w:rPr>
        <w:t>Section 5.7 of the Guidelines.</w:t>
      </w:r>
    </w:p>
    <w:p w14:paraId="2E4646F3" w14:textId="1BD11A41" w:rsidR="00192F18" w:rsidRPr="00B74333" w:rsidRDefault="00192F18">
      <w:pPr>
        <w:widowControl w:val="0"/>
        <w:numPr>
          <w:ilvl w:val="1"/>
          <w:numId w:val="47"/>
        </w:numPr>
        <w:tabs>
          <w:tab w:val="left" w:pos="721"/>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This Agreement shall become fully effective upon the fulfillment, to the satisfaction of DESFA, of all the </w:t>
      </w:r>
      <w:r w:rsidR="00791944" w:rsidRPr="00B74333">
        <w:rPr>
          <w:rFonts w:eastAsia="Calibri" w:cstheme="minorHAnsi"/>
          <w:color w:val="000000"/>
          <w:sz w:val="24"/>
          <w:szCs w:val="24"/>
          <w:lang w:bidi="en-US"/>
        </w:rPr>
        <w:t>C</w:t>
      </w:r>
      <w:r w:rsidRPr="00B74333">
        <w:rPr>
          <w:rFonts w:eastAsia="Calibri" w:cstheme="minorHAnsi"/>
          <w:color w:val="000000"/>
          <w:sz w:val="24"/>
          <w:szCs w:val="24"/>
          <w:lang w:bidi="en-US"/>
        </w:rPr>
        <w:t xml:space="preserve">onditions </w:t>
      </w:r>
      <w:r w:rsidR="00791944" w:rsidRPr="00B74333">
        <w:rPr>
          <w:rFonts w:eastAsia="Calibri" w:cstheme="minorHAnsi"/>
          <w:color w:val="000000"/>
          <w:sz w:val="24"/>
          <w:szCs w:val="24"/>
          <w:lang w:bidi="en-US"/>
        </w:rPr>
        <w:t>P</w:t>
      </w:r>
      <w:r w:rsidRPr="00B74333">
        <w:rPr>
          <w:rFonts w:eastAsia="Calibri" w:cstheme="minorHAnsi"/>
          <w:color w:val="000000"/>
          <w:sz w:val="24"/>
          <w:szCs w:val="24"/>
          <w:lang w:bidi="en-US"/>
        </w:rPr>
        <w:t xml:space="preserve">recedent described in the </w:t>
      </w:r>
      <w:r w:rsidR="00791944" w:rsidRPr="00B74333">
        <w:rPr>
          <w:rFonts w:eastAsia="Calibri" w:cstheme="minorHAnsi"/>
          <w:color w:val="000000"/>
          <w:sz w:val="24"/>
          <w:szCs w:val="24"/>
          <w:lang w:bidi="en-US"/>
        </w:rPr>
        <w:t xml:space="preserve">Guidelines and the </w:t>
      </w:r>
      <w:r w:rsidRPr="00B74333">
        <w:rPr>
          <w:rFonts w:eastAsia="Calibri" w:cstheme="minorHAnsi"/>
          <w:color w:val="000000"/>
          <w:sz w:val="24"/>
          <w:szCs w:val="24"/>
          <w:lang w:bidi="en-US"/>
        </w:rPr>
        <w:t>Project Proposal</w:t>
      </w:r>
      <w:r w:rsidR="00791944" w:rsidRPr="00B74333">
        <w:rPr>
          <w:rFonts w:eastAsia="Calibri" w:cstheme="minorHAnsi"/>
          <w:color w:val="000000"/>
          <w:sz w:val="24"/>
          <w:szCs w:val="24"/>
          <w:lang w:bidi="en-US"/>
        </w:rPr>
        <w:t>s</w:t>
      </w:r>
      <w:r w:rsidRPr="00B74333">
        <w:rPr>
          <w:rFonts w:eastAsia="Calibri" w:cstheme="minorHAnsi"/>
          <w:color w:val="000000"/>
          <w:sz w:val="24"/>
          <w:szCs w:val="24"/>
          <w:lang w:bidi="en-US"/>
        </w:rPr>
        <w:t xml:space="preserve">. For the avoidance of doubt, DESFA is entitled not to proceed with the </w:t>
      </w:r>
      <w:r w:rsidR="002C4547" w:rsidRPr="00B74333">
        <w:rPr>
          <w:rFonts w:eastAsia="Calibri" w:cstheme="minorHAnsi"/>
          <w:color w:val="000000"/>
          <w:sz w:val="24"/>
          <w:szCs w:val="24"/>
          <w:lang w:bidi="en-US"/>
        </w:rPr>
        <w:t>DESFA Part of the Project</w:t>
      </w:r>
      <w:r w:rsidRPr="00B74333">
        <w:rPr>
          <w:rFonts w:eastAsia="Calibri" w:cstheme="minorHAnsi"/>
          <w:color w:val="000000"/>
          <w:sz w:val="24"/>
          <w:szCs w:val="24"/>
          <w:lang w:bidi="en-US"/>
        </w:rPr>
        <w:t xml:space="preserve">, by the Long Stop Date, due to the fact that any of the </w:t>
      </w:r>
      <w:proofErr w:type="gramStart"/>
      <w:r w:rsidRPr="00B74333">
        <w:rPr>
          <w:rFonts w:eastAsia="Calibri" w:cstheme="minorHAnsi"/>
          <w:color w:val="000000"/>
          <w:sz w:val="24"/>
          <w:szCs w:val="24"/>
          <w:lang w:bidi="en-US"/>
        </w:rPr>
        <w:t>conditions</w:t>
      </w:r>
      <w:proofErr w:type="gramEnd"/>
      <w:r w:rsidRPr="00B74333">
        <w:rPr>
          <w:rFonts w:eastAsia="Calibri" w:cstheme="minorHAnsi"/>
          <w:color w:val="000000"/>
          <w:sz w:val="24"/>
          <w:szCs w:val="24"/>
          <w:lang w:bidi="en-US"/>
        </w:rPr>
        <w:t xml:space="preserve"> precedent provided for in the </w:t>
      </w:r>
      <w:r w:rsidR="00791944" w:rsidRPr="00B74333">
        <w:rPr>
          <w:rFonts w:eastAsia="Calibri" w:cstheme="minorHAnsi"/>
          <w:color w:val="000000"/>
          <w:sz w:val="24"/>
          <w:szCs w:val="24"/>
          <w:lang w:bidi="en-US"/>
        </w:rPr>
        <w:t xml:space="preserve">Guidelines and the </w:t>
      </w:r>
      <w:r w:rsidRPr="00B74333">
        <w:rPr>
          <w:rFonts w:eastAsia="Calibri" w:cstheme="minorHAnsi"/>
          <w:color w:val="000000"/>
          <w:sz w:val="24"/>
          <w:szCs w:val="24"/>
          <w:lang w:bidi="en-US"/>
        </w:rPr>
        <w:t>Project Proposal</w:t>
      </w:r>
      <w:r w:rsidR="00791944" w:rsidRPr="00B74333">
        <w:rPr>
          <w:rFonts w:eastAsia="Calibri" w:cstheme="minorHAnsi"/>
          <w:color w:val="000000"/>
          <w:sz w:val="24"/>
          <w:szCs w:val="24"/>
          <w:lang w:bidi="en-US"/>
        </w:rPr>
        <w:t>s</w:t>
      </w:r>
      <w:r w:rsidRPr="00B74333">
        <w:rPr>
          <w:rFonts w:eastAsia="Calibri" w:cstheme="minorHAnsi"/>
          <w:color w:val="000000"/>
          <w:sz w:val="24"/>
          <w:szCs w:val="24"/>
          <w:lang w:bidi="en-US"/>
        </w:rPr>
        <w:t xml:space="preserve"> and specified herein have not been met or waived by DESFA. Without prejudice to Article 3.2 above, this Agreement shall terminate ipso jure in case any of the following conditions precedent has not been met to the satisfaction of DESFA:</w:t>
      </w:r>
    </w:p>
    <w:p w14:paraId="1343A981" w14:textId="0B937B54" w:rsidR="008C1E36" w:rsidRPr="00B74333" w:rsidRDefault="008C1E36" w:rsidP="008C1E36">
      <w:pPr>
        <w:pStyle w:val="ListParagraph"/>
        <w:numPr>
          <w:ilvl w:val="0"/>
          <w:numId w:val="49"/>
        </w:numPr>
        <w:ind w:left="0"/>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 xml:space="preserve">The Project Promoters have not proceeded with a </w:t>
      </w:r>
      <w:r w:rsidR="00395486" w:rsidRPr="00B74333">
        <w:rPr>
          <w:rFonts w:eastAsia="Calibri" w:cstheme="minorHAnsi"/>
          <w:color w:val="000000" w:themeColor="text1"/>
          <w:sz w:val="24"/>
          <w:szCs w:val="24"/>
          <w:lang w:bidi="en-US"/>
        </w:rPr>
        <w:t>f</w:t>
      </w:r>
      <w:r w:rsidR="002548E6" w:rsidRPr="00B74333">
        <w:rPr>
          <w:rFonts w:eastAsia="Calibri" w:cstheme="minorHAnsi"/>
          <w:color w:val="000000" w:themeColor="text1"/>
          <w:sz w:val="24"/>
          <w:szCs w:val="24"/>
          <w:lang w:bidi="en-US"/>
        </w:rPr>
        <w:t xml:space="preserve">inal </w:t>
      </w:r>
      <w:r w:rsidR="00395486" w:rsidRPr="00B74333">
        <w:rPr>
          <w:rFonts w:eastAsia="Calibri" w:cstheme="minorHAnsi"/>
          <w:color w:val="000000" w:themeColor="text1"/>
          <w:sz w:val="24"/>
          <w:szCs w:val="24"/>
          <w:lang w:bidi="en-US"/>
        </w:rPr>
        <w:t>i</w:t>
      </w:r>
      <w:r w:rsidR="002548E6" w:rsidRPr="00B74333">
        <w:rPr>
          <w:rFonts w:eastAsia="Calibri" w:cstheme="minorHAnsi"/>
          <w:color w:val="000000" w:themeColor="text1"/>
          <w:sz w:val="24"/>
          <w:szCs w:val="24"/>
          <w:lang w:bidi="en-US"/>
        </w:rPr>
        <w:t xml:space="preserve">nvestment </w:t>
      </w:r>
      <w:r w:rsidR="00395486" w:rsidRPr="00B74333">
        <w:rPr>
          <w:rFonts w:eastAsia="Calibri" w:cstheme="minorHAnsi"/>
          <w:color w:val="000000" w:themeColor="text1"/>
          <w:sz w:val="24"/>
          <w:szCs w:val="24"/>
          <w:lang w:bidi="en-US"/>
        </w:rPr>
        <w:t>d</w:t>
      </w:r>
      <w:r w:rsidR="002548E6" w:rsidRPr="00B74333">
        <w:rPr>
          <w:rFonts w:eastAsia="Calibri" w:cstheme="minorHAnsi"/>
          <w:color w:val="000000" w:themeColor="text1"/>
          <w:sz w:val="24"/>
          <w:szCs w:val="24"/>
          <w:lang w:bidi="en-US"/>
        </w:rPr>
        <w:t>ecision</w:t>
      </w:r>
      <w:r w:rsidR="002548E6" w:rsidRPr="00B74333" w:rsidDel="002548E6">
        <w:rPr>
          <w:rFonts w:eastAsia="Calibri" w:cstheme="minorHAnsi"/>
          <w:color w:val="000000" w:themeColor="text1"/>
          <w:sz w:val="24"/>
          <w:szCs w:val="24"/>
          <w:lang w:bidi="en-US"/>
        </w:rPr>
        <w:t xml:space="preserve"> </w:t>
      </w:r>
      <w:r w:rsidRPr="00B74333">
        <w:rPr>
          <w:rFonts w:eastAsia="Calibri" w:cstheme="minorHAnsi"/>
          <w:color w:val="000000" w:themeColor="text1"/>
          <w:sz w:val="24"/>
          <w:szCs w:val="24"/>
          <w:lang w:bidi="en-US"/>
        </w:rPr>
        <w:t>and have not signed a Connection Agreement with DESFA for the construction of the project connecting the respective independent natural gas system to the NNGTS with DESFA, where applicable, by the Step-out Deadline</w:t>
      </w:r>
      <w:r w:rsidR="003A35F9" w:rsidRPr="00B74333">
        <w:rPr>
          <w:rFonts w:eastAsia="Calibri" w:cstheme="minorHAnsi"/>
          <w:color w:val="000000" w:themeColor="text1"/>
          <w:sz w:val="24"/>
          <w:szCs w:val="24"/>
          <w:lang w:bidi="en-US"/>
        </w:rPr>
        <w:t>;</w:t>
      </w:r>
      <w:r w:rsidR="00C340EA" w:rsidRPr="00B74333">
        <w:rPr>
          <w:rFonts w:eastAsia="Calibri" w:cstheme="minorHAnsi"/>
          <w:color w:val="000000" w:themeColor="text1"/>
          <w:sz w:val="24"/>
          <w:szCs w:val="24"/>
          <w:lang w:bidi="en-US"/>
        </w:rPr>
        <w:t xml:space="preserve"> or</w:t>
      </w:r>
    </w:p>
    <w:p w14:paraId="0587B1BC" w14:textId="159629BD" w:rsidR="00192F18" w:rsidRPr="00B74333" w:rsidRDefault="00192F18">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 xml:space="preserve">The relevant GTAs between the Company and </w:t>
      </w:r>
      <w:r w:rsidR="006E3167" w:rsidRPr="00B74333">
        <w:rPr>
          <w:rFonts w:eastAsia="Calibri" w:cstheme="minorHAnsi"/>
          <w:color w:val="000000" w:themeColor="text1"/>
          <w:sz w:val="24"/>
          <w:szCs w:val="24"/>
          <w:lang w:bidi="en-US"/>
        </w:rPr>
        <w:t xml:space="preserve">the </w:t>
      </w:r>
      <w:r w:rsidRPr="00B74333">
        <w:rPr>
          <w:rFonts w:eastAsia="Calibri" w:cstheme="minorHAnsi"/>
          <w:color w:val="000000" w:themeColor="text1"/>
          <w:sz w:val="24"/>
          <w:szCs w:val="24"/>
          <w:lang w:bidi="en-US"/>
        </w:rPr>
        <w:t>TSOs</w:t>
      </w:r>
      <w:r w:rsidR="00C001CF" w:rsidRPr="00B74333">
        <w:rPr>
          <w:rFonts w:eastAsia="Calibri" w:cstheme="minorHAnsi"/>
          <w:color w:val="000000" w:themeColor="text1"/>
          <w:sz w:val="24"/>
          <w:szCs w:val="24"/>
          <w:lang w:bidi="en-US"/>
        </w:rPr>
        <w:t xml:space="preserve"> Concerned</w:t>
      </w:r>
      <w:r w:rsidRPr="00B74333">
        <w:rPr>
          <w:rFonts w:eastAsia="Calibri" w:cstheme="minorHAnsi"/>
          <w:color w:val="000000" w:themeColor="text1"/>
          <w:sz w:val="24"/>
          <w:szCs w:val="24"/>
          <w:lang w:bidi="en-US"/>
        </w:rPr>
        <w:t xml:space="preserve"> do not become fully effective by the Long Stop Date</w:t>
      </w:r>
      <w:r w:rsidR="006E3167" w:rsidRPr="00B74333">
        <w:rPr>
          <w:rFonts w:eastAsia="Calibri" w:cstheme="minorHAnsi"/>
          <w:color w:val="000000" w:themeColor="text1"/>
          <w:sz w:val="24"/>
          <w:szCs w:val="24"/>
          <w:lang w:bidi="en-US"/>
        </w:rPr>
        <w:t>, according to the provisions of the Guidelines and the Project Proposals</w:t>
      </w:r>
      <w:r w:rsidRPr="00B74333">
        <w:rPr>
          <w:rFonts w:eastAsia="Calibri" w:cstheme="minorHAnsi"/>
          <w:color w:val="000000" w:themeColor="text1"/>
          <w:sz w:val="24"/>
          <w:szCs w:val="24"/>
          <w:lang w:bidi="en-US"/>
        </w:rPr>
        <w:t>; or</w:t>
      </w:r>
    </w:p>
    <w:p w14:paraId="41BA2FD8" w14:textId="61383587" w:rsidR="00192F18" w:rsidRPr="00B74333" w:rsidRDefault="006E3167">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The TSOs Concerned</w:t>
      </w:r>
      <w:r w:rsidR="008134C5" w:rsidRPr="00B74333">
        <w:rPr>
          <w:rFonts w:eastAsia="Calibri" w:cstheme="minorHAnsi"/>
          <w:color w:val="000000" w:themeColor="text1"/>
          <w:sz w:val="24"/>
          <w:szCs w:val="24"/>
          <w:lang w:bidi="en-US"/>
        </w:rPr>
        <w:t xml:space="preserve">, in case capacity has been allocated </w:t>
      </w:r>
      <w:r w:rsidR="007170E1" w:rsidRPr="00B74333">
        <w:rPr>
          <w:rFonts w:eastAsia="Calibri" w:cstheme="minorHAnsi"/>
          <w:color w:val="000000" w:themeColor="text1"/>
          <w:sz w:val="24"/>
          <w:szCs w:val="24"/>
          <w:lang w:bidi="en-US"/>
        </w:rPr>
        <w:t xml:space="preserve">to Participants </w:t>
      </w:r>
      <w:r w:rsidR="008134C5" w:rsidRPr="00B74333">
        <w:rPr>
          <w:rFonts w:eastAsia="Calibri" w:cstheme="minorHAnsi"/>
          <w:color w:val="000000" w:themeColor="text1"/>
          <w:sz w:val="24"/>
          <w:szCs w:val="24"/>
          <w:lang w:bidi="en-US"/>
        </w:rPr>
        <w:t>at the relevant IPs,</w:t>
      </w:r>
      <w:r w:rsidRPr="00B74333">
        <w:rPr>
          <w:rFonts w:eastAsia="Calibri" w:cstheme="minorHAnsi"/>
          <w:color w:val="000000" w:themeColor="text1"/>
          <w:sz w:val="24"/>
          <w:szCs w:val="24"/>
          <w:lang w:bidi="en-US"/>
        </w:rPr>
        <w:t xml:space="preserve"> </w:t>
      </w:r>
      <w:r w:rsidR="00192F18" w:rsidRPr="00B74333">
        <w:rPr>
          <w:rFonts w:eastAsia="Calibri" w:cstheme="minorHAnsi"/>
          <w:color w:val="000000" w:themeColor="text1"/>
          <w:sz w:val="24"/>
          <w:szCs w:val="24"/>
          <w:lang w:bidi="en-US"/>
        </w:rPr>
        <w:t>ha</w:t>
      </w:r>
      <w:r w:rsidRPr="00B74333">
        <w:rPr>
          <w:rFonts w:eastAsia="Calibri" w:cstheme="minorHAnsi"/>
          <w:color w:val="000000" w:themeColor="text1"/>
          <w:sz w:val="24"/>
          <w:szCs w:val="24"/>
          <w:lang w:bidi="en-US"/>
        </w:rPr>
        <w:t>ve</w:t>
      </w:r>
      <w:r w:rsidR="00192F18" w:rsidRPr="00B74333">
        <w:rPr>
          <w:rFonts w:eastAsia="Calibri" w:cstheme="minorHAnsi"/>
          <w:color w:val="000000" w:themeColor="text1"/>
          <w:sz w:val="24"/>
          <w:szCs w:val="24"/>
          <w:lang w:bidi="en-US"/>
        </w:rPr>
        <w:t xml:space="preserve"> decided not to proceed with the Incremental Capacity Project, and ha</w:t>
      </w:r>
      <w:r w:rsidR="00DE7AFA" w:rsidRPr="00B74333">
        <w:rPr>
          <w:rFonts w:eastAsia="Calibri" w:cstheme="minorHAnsi"/>
          <w:color w:val="000000" w:themeColor="text1"/>
          <w:sz w:val="24"/>
          <w:szCs w:val="24"/>
          <w:lang w:bidi="en-US"/>
        </w:rPr>
        <w:t>ve</w:t>
      </w:r>
      <w:r w:rsidR="00192F18" w:rsidRPr="00B74333">
        <w:rPr>
          <w:rFonts w:eastAsia="Calibri" w:cstheme="minorHAnsi"/>
          <w:color w:val="000000" w:themeColor="text1"/>
          <w:sz w:val="24"/>
          <w:szCs w:val="24"/>
          <w:lang w:bidi="en-US"/>
        </w:rPr>
        <w:t xml:space="preserve"> notified DESFA by the Long Stop Date, </w:t>
      </w:r>
      <w:proofErr w:type="gramStart"/>
      <w:r w:rsidR="00192F18" w:rsidRPr="00B74333">
        <w:rPr>
          <w:rFonts w:eastAsia="Calibri" w:cstheme="minorHAnsi"/>
          <w:color w:val="000000" w:themeColor="text1"/>
          <w:sz w:val="24"/>
          <w:szCs w:val="24"/>
          <w:lang w:bidi="en-US"/>
        </w:rPr>
        <w:t>due to the fact that</w:t>
      </w:r>
      <w:proofErr w:type="gramEnd"/>
      <w:r w:rsidR="00192F18" w:rsidRPr="00B74333">
        <w:rPr>
          <w:rFonts w:eastAsia="Calibri" w:cstheme="minorHAnsi"/>
          <w:color w:val="000000" w:themeColor="text1"/>
          <w:sz w:val="24"/>
          <w:szCs w:val="24"/>
          <w:lang w:bidi="en-US"/>
        </w:rPr>
        <w:t xml:space="preserve"> the</w:t>
      </w:r>
      <w:r w:rsidR="00DE7AFA" w:rsidRPr="00B74333">
        <w:rPr>
          <w:rFonts w:eastAsia="Calibri" w:cstheme="minorHAnsi"/>
          <w:color w:val="000000" w:themeColor="text1"/>
          <w:sz w:val="24"/>
          <w:szCs w:val="24"/>
          <w:lang w:bidi="en-US"/>
        </w:rPr>
        <w:t>ir</w:t>
      </w:r>
      <w:r w:rsidR="00FB07F2" w:rsidRPr="00B74333">
        <w:rPr>
          <w:rFonts w:eastAsia="Calibri" w:cstheme="minorHAnsi"/>
          <w:color w:val="000000" w:themeColor="text1"/>
          <w:sz w:val="24"/>
          <w:szCs w:val="24"/>
          <w:lang w:bidi="en-US"/>
        </w:rPr>
        <w:t xml:space="preserve"> specific</w:t>
      </w:r>
      <w:r w:rsidR="00192F18" w:rsidRPr="00B74333">
        <w:rPr>
          <w:rFonts w:eastAsia="Calibri" w:cstheme="minorHAnsi"/>
          <w:color w:val="000000" w:themeColor="text1"/>
          <w:sz w:val="24"/>
          <w:szCs w:val="24"/>
          <w:lang w:bidi="en-US"/>
        </w:rPr>
        <w:t xml:space="preserve"> </w:t>
      </w:r>
      <w:r w:rsidR="00FB07F2" w:rsidRPr="00B74333">
        <w:rPr>
          <w:rFonts w:eastAsia="Calibri" w:cstheme="minorHAnsi"/>
          <w:color w:val="000000" w:themeColor="text1"/>
          <w:sz w:val="24"/>
          <w:szCs w:val="24"/>
          <w:lang w:bidi="en-US"/>
        </w:rPr>
        <w:t>C</w:t>
      </w:r>
      <w:r w:rsidR="00192F18" w:rsidRPr="00B74333">
        <w:rPr>
          <w:rFonts w:eastAsia="Calibri" w:cstheme="minorHAnsi"/>
          <w:color w:val="000000" w:themeColor="text1"/>
          <w:sz w:val="24"/>
          <w:szCs w:val="24"/>
          <w:lang w:bidi="en-US"/>
        </w:rPr>
        <w:t xml:space="preserve">onditions </w:t>
      </w:r>
      <w:r w:rsidR="00FB07F2" w:rsidRPr="00B74333">
        <w:rPr>
          <w:rFonts w:eastAsia="Calibri" w:cstheme="minorHAnsi"/>
          <w:color w:val="000000" w:themeColor="text1"/>
          <w:sz w:val="24"/>
          <w:szCs w:val="24"/>
          <w:lang w:bidi="en-US"/>
        </w:rPr>
        <w:t>P</w:t>
      </w:r>
      <w:r w:rsidR="00192F18" w:rsidRPr="00B74333">
        <w:rPr>
          <w:rFonts w:eastAsia="Calibri" w:cstheme="minorHAnsi"/>
          <w:color w:val="000000" w:themeColor="text1"/>
          <w:sz w:val="24"/>
          <w:szCs w:val="24"/>
          <w:lang w:bidi="en-US"/>
        </w:rPr>
        <w:t>recedent</w:t>
      </w:r>
      <w:r w:rsidR="00192F18" w:rsidRPr="00B74333" w:rsidDel="00FB07F2">
        <w:rPr>
          <w:rFonts w:eastAsia="Calibri" w:cstheme="minorHAnsi"/>
          <w:color w:val="000000" w:themeColor="text1"/>
          <w:sz w:val="24"/>
          <w:szCs w:val="24"/>
          <w:lang w:bidi="en-US"/>
        </w:rPr>
        <w:t xml:space="preserve"> </w:t>
      </w:r>
      <w:r w:rsidR="00192F18" w:rsidRPr="00B74333">
        <w:rPr>
          <w:rFonts w:eastAsia="Calibri" w:cstheme="minorHAnsi"/>
          <w:color w:val="000000" w:themeColor="text1"/>
          <w:sz w:val="24"/>
          <w:szCs w:val="24"/>
          <w:lang w:bidi="en-US"/>
        </w:rPr>
        <w:t>as described in the Project Proposal</w:t>
      </w:r>
      <w:r w:rsidR="00FB07F2" w:rsidRPr="00B74333">
        <w:rPr>
          <w:rFonts w:eastAsia="Calibri" w:cstheme="minorHAnsi"/>
          <w:color w:val="000000" w:themeColor="text1"/>
          <w:sz w:val="24"/>
          <w:szCs w:val="24"/>
          <w:lang w:bidi="en-US"/>
        </w:rPr>
        <w:t>s</w:t>
      </w:r>
      <w:r w:rsidR="00192F18" w:rsidRPr="00B74333">
        <w:rPr>
          <w:rFonts w:eastAsia="Calibri" w:cstheme="minorHAnsi"/>
          <w:color w:val="000000" w:themeColor="text1"/>
          <w:sz w:val="24"/>
          <w:szCs w:val="24"/>
          <w:lang w:bidi="en-US"/>
        </w:rPr>
        <w:t xml:space="preserve"> have not been met or waived; or</w:t>
      </w:r>
    </w:p>
    <w:p w14:paraId="4738FE2E" w14:textId="33EEF9BE" w:rsidR="00B74D1C" w:rsidRPr="00B74333" w:rsidRDefault="00192F18" w:rsidP="00F14143">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 xml:space="preserve">DESFA’s </w:t>
      </w:r>
      <w:r w:rsidR="00105F2A" w:rsidRPr="00B74333">
        <w:rPr>
          <w:rFonts w:eastAsia="Calibri" w:cstheme="minorHAnsi"/>
          <w:color w:val="000000" w:themeColor="text1"/>
          <w:sz w:val="24"/>
          <w:szCs w:val="24"/>
          <w:lang w:bidi="en-US"/>
        </w:rPr>
        <w:t xml:space="preserve">updated </w:t>
      </w:r>
      <w:r w:rsidRPr="00B74333">
        <w:rPr>
          <w:rFonts w:eastAsia="Calibri" w:cstheme="minorHAnsi"/>
          <w:color w:val="000000" w:themeColor="text1"/>
          <w:sz w:val="24"/>
          <w:szCs w:val="24"/>
          <w:lang w:bidi="en-US"/>
        </w:rPr>
        <w:t>estimations</w:t>
      </w:r>
      <w:r w:rsidR="009222DB" w:rsidRPr="00B74333">
        <w:rPr>
          <w:rFonts w:eastAsia="Calibri" w:cstheme="minorHAnsi"/>
          <w:color w:val="000000" w:themeColor="text1"/>
          <w:sz w:val="24"/>
          <w:szCs w:val="24"/>
          <w:lang w:bidi="en-US"/>
        </w:rPr>
        <w:t>, by the Long Stop Date,</w:t>
      </w:r>
      <w:r w:rsidRPr="00B74333">
        <w:rPr>
          <w:rFonts w:eastAsia="Calibri" w:cstheme="minorHAnsi"/>
          <w:color w:val="000000" w:themeColor="text1"/>
          <w:sz w:val="24"/>
          <w:szCs w:val="24"/>
          <w:lang w:bidi="en-US"/>
        </w:rPr>
        <w:t xml:space="preserve"> for the cost of the DESFA Part of </w:t>
      </w:r>
      <w:r w:rsidR="009222DB" w:rsidRPr="00B74333">
        <w:rPr>
          <w:rFonts w:eastAsia="Calibri" w:cstheme="minorHAnsi"/>
          <w:color w:val="000000" w:themeColor="text1"/>
          <w:sz w:val="24"/>
          <w:szCs w:val="24"/>
          <w:lang w:bidi="en-US"/>
        </w:rPr>
        <w:t xml:space="preserve">the </w:t>
      </w:r>
      <w:r w:rsidRPr="00B74333">
        <w:rPr>
          <w:rFonts w:eastAsia="Calibri" w:cstheme="minorHAnsi"/>
          <w:color w:val="000000" w:themeColor="text1"/>
          <w:sz w:val="24"/>
          <w:szCs w:val="24"/>
          <w:lang w:bidi="en-US"/>
        </w:rPr>
        <w:t>Project, based on the detailed design following the capacity allocated to the Company after the positive outcome of the Binding Bidding Phase and of the EVT, alters the result of the EVT to negative</w:t>
      </w:r>
      <w:r w:rsidR="00C340EA" w:rsidRPr="00B74333">
        <w:rPr>
          <w:rFonts w:eastAsia="Calibri" w:cstheme="minorHAnsi"/>
          <w:color w:val="000000" w:themeColor="text1"/>
          <w:sz w:val="24"/>
          <w:szCs w:val="24"/>
          <w:lang w:bidi="en-US"/>
        </w:rPr>
        <w:t>; or</w:t>
      </w:r>
    </w:p>
    <w:p w14:paraId="5635ACC1" w14:textId="11287E77" w:rsidR="00277BF8" w:rsidRPr="00B74333" w:rsidRDefault="00B74D1C">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 xml:space="preserve">DESFA Part of </w:t>
      </w:r>
      <w:r w:rsidR="004531EC" w:rsidRPr="00B74333">
        <w:rPr>
          <w:rFonts w:eastAsia="Calibri" w:cstheme="minorHAnsi"/>
          <w:color w:val="000000" w:themeColor="text1"/>
          <w:sz w:val="24"/>
          <w:szCs w:val="24"/>
          <w:lang w:bidi="en-US"/>
        </w:rPr>
        <w:t xml:space="preserve">the </w:t>
      </w:r>
      <w:r w:rsidRPr="00B74333">
        <w:rPr>
          <w:rFonts w:eastAsia="Calibri" w:cstheme="minorHAnsi"/>
          <w:color w:val="000000" w:themeColor="text1"/>
          <w:sz w:val="24"/>
          <w:szCs w:val="24"/>
          <w:lang w:bidi="en-US"/>
        </w:rPr>
        <w:t>Project has not been unconditionally included in DESFA’s approved</w:t>
      </w:r>
      <w:r w:rsidR="00277BF8"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lastRenderedPageBreak/>
        <w:t>Ten Year Development Plan</w:t>
      </w:r>
      <w:r w:rsidR="00C340EA" w:rsidRPr="00B74333">
        <w:rPr>
          <w:rFonts w:eastAsia="Calibri" w:cstheme="minorHAnsi"/>
          <w:color w:val="000000"/>
          <w:sz w:val="24"/>
          <w:szCs w:val="24"/>
          <w:lang w:bidi="en-US"/>
        </w:rPr>
        <w:t>; or</w:t>
      </w:r>
    </w:p>
    <w:p w14:paraId="08935CE8" w14:textId="555E009A" w:rsidR="00B74D1C" w:rsidRPr="00B74333" w:rsidRDefault="00B74D1C" w:rsidP="00F14143">
      <w:pPr>
        <w:widowControl w:val="0"/>
        <w:numPr>
          <w:ilvl w:val="0"/>
          <w:numId w:val="49"/>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DESFA has not proceeded with a Final Investment Decision by the Long Stop Date</w:t>
      </w:r>
      <w:r w:rsidR="00C340EA" w:rsidRPr="00B74333">
        <w:rPr>
          <w:rFonts w:eastAsia="Calibri" w:cstheme="minorHAnsi"/>
          <w:color w:val="000000"/>
          <w:sz w:val="24"/>
          <w:szCs w:val="24"/>
          <w:lang w:bidi="en-US"/>
        </w:rPr>
        <w:t>.</w:t>
      </w:r>
    </w:p>
    <w:p w14:paraId="5310D7DA" w14:textId="71EFB8A6" w:rsidR="00192F18" w:rsidRPr="00B74333" w:rsidRDefault="00192F18">
      <w:pPr>
        <w:widowControl w:val="0"/>
        <w:numPr>
          <w:ilvl w:val="1"/>
          <w:numId w:val="50"/>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In case of early termination of this Agreement as per Articles 3.2 and 3.3 above, DESFA shall be entitled to recover the actual costs it incurred for the </w:t>
      </w:r>
      <w:r w:rsidR="0046572B" w:rsidRPr="00B74333">
        <w:rPr>
          <w:rFonts w:eastAsia="Calibri" w:cstheme="minorHAnsi"/>
          <w:color w:val="000000"/>
          <w:sz w:val="24"/>
          <w:szCs w:val="24"/>
          <w:lang w:bidi="en-US"/>
        </w:rPr>
        <w:t>Market Test</w:t>
      </w:r>
      <w:r w:rsidRPr="00B74333">
        <w:rPr>
          <w:rFonts w:eastAsia="Calibri" w:cstheme="minorHAnsi"/>
          <w:color w:val="000000"/>
          <w:sz w:val="24"/>
          <w:szCs w:val="24"/>
          <w:lang w:bidi="en-US"/>
        </w:rPr>
        <w:t xml:space="preserve"> </w:t>
      </w:r>
      <w:r w:rsidR="00F90650" w:rsidRPr="00B74333">
        <w:rPr>
          <w:rFonts w:eastAsia="Calibri" w:cstheme="minorHAnsi"/>
          <w:color w:val="000000"/>
          <w:sz w:val="24"/>
          <w:szCs w:val="24"/>
          <w:lang w:bidi="en-US"/>
        </w:rPr>
        <w:t>P</w:t>
      </w:r>
      <w:r w:rsidRPr="00B74333">
        <w:rPr>
          <w:rFonts w:eastAsia="Calibri" w:cstheme="minorHAnsi"/>
          <w:color w:val="000000"/>
          <w:sz w:val="24"/>
          <w:szCs w:val="24"/>
          <w:lang w:bidi="en-US"/>
        </w:rPr>
        <w:t>rocess up to the Termination Date calculated in accordance with the relevant provision of the</w:t>
      </w:r>
      <w:r w:rsidR="000F48BD" w:rsidRPr="00B74333">
        <w:rPr>
          <w:rFonts w:eastAsia="Calibri" w:cstheme="minorHAnsi"/>
          <w:color w:val="000000"/>
          <w:sz w:val="24"/>
          <w:szCs w:val="24"/>
          <w:lang w:bidi="en-US"/>
        </w:rPr>
        <w:t xml:space="preserve"> Guidelines and the</w:t>
      </w:r>
      <w:r w:rsidRPr="00B74333">
        <w:rPr>
          <w:rFonts w:eastAsia="Calibri" w:cstheme="minorHAnsi"/>
          <w:color w:val="000000"/>
          <w:sz w:val="24"/>
          <w:szCs w:val="24"/>
          <w:lang w:bidi="en-US"/>
        </w:rPr>
        <w:t xml:space="preserve"> Project Proposal</w:t>
      </w:r>
      <w:r w:rsidR="000F48BD" w:rsidRPr="00B74333">
        <w:rPr>
          <w:rFonts w:eastAsia="Calibri" w:cstheme="minorHAnsi"/>
          <w:color w:val="000000"/>
          <w:sz w:val="24"/>
          <w:szCs w:val="24"/>
          <w:lang w:bidi="en-US"/>
        </w:rPr>
        <w:t>s</w:t>
      </w:r>
      <w:r w:rsidRPr="00B74333">
        <w:rPr>
          <w:rFonts w:eastAsia="Calibri" w:cstheme="minorHAnsi"/>
          <w:color w:val="000000"/>
          <w:sz w:val="24"/>
          <w:szCs w:val="24"/>
          <w:lang w:bidi="en-US"/>
        </w:rPr>
        <w:t xml:space="preserve">. The Company shall pay the charges invoiced by DESFA for such costs within twenty (20) days from DESFA’s Notice. DESFA shall be entitled to make a claim under 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if said invoices are not duly and timely </w:t>
      </w:r>
      <w:r w:rsidR="00015927" w:rsidRPr="00B74333">
        <w:rPr>
          <w:rFonts w:eastAsia="Calibri" w:cstheme="minorHAnsi"/>
          <w:color w:val="000000"/>
          <w:sz w:val="24"/>
          <w:szCs w:val="24"/>
          <w:lang w:bidi="en-US"/>
        </w:rPr>
        <w:t>paid</w:t>
      </w:r>
      <w:r w:rsidRPr="00B74333">
        <w:rPr>
          <w:rFonts w:eastAsia="Calibri" w:cstheme="minorHAnsi"/>
          <w:color w:val="000000"/>
          <w:sz w:val="24"/>
          <w:szCs w:val="24"/>
          <w:lang w:bidi="en-US"/>
        </w:rPr>
        <w:t xml:space="preserve"> by the Company.</w:t>
      </w:r>
    </w:p>
    <w:p w14:paraId="4835A3C8" w14:textId="0E979F60" w:rsidR="00192F18" w:rsidRPr="00B74333" w:rsidRDefault="00192F18">
      <w:pPr>
        <w:widowControl w:val="0"/>
        <w:numPr>
          <w:ilvl w:val="1"/>
          <w:numId w:val="50"/>
        </w:numPr>
        <w:tabs>
          <w:tab w:val="left" w:pos="721"/>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Without prejudice to any other right, remedy or power contained in this Agreement or at Law, either Party may terminate this Agreement if the other Party is in material breach of any of its obligations herein. Material breach shall be the failure by either Party to perform any of its obligations resulting from or arising out of or in connection with this Agreement. Where such breach is capable of remedy, the </w:t>
      </w:r>
      <w:proofErr w:type="spellStart"/>
      <w:r w:rsidRPr="00B74333">
        <w:rPr>
          <w:rFonts w:eastAsia="Calibri" w:cstheme="minorHAnsi"/>
          <w:color w:val="000000"/>
          <w:sz w:val="24"/>
          <w:szCs w:val="24"/>
          <w:lang w:bidi="en-US"/>
        </w:rPr>
        <w:t>non</w:t>
      </w:r>
      <w:r w:rsidRPr="00B74333">
        <w:rPr>
          <w:rFonts w:eastAsia="Calibri" w:cstheme="minorHAnsi"/>
          <w:color w:val="000000"/>
          <w:sz w:val="24"/>
          <w:szCs w:val="24"/>
          <w:lang w:bidi="en-US"/>
        </w:rPr>
        <w:softHyphen/>
        <w:t>defaulting</w:t>
      </w:r>
      <w:proofErr w:type="spellEnd"/>
      <w:r w:rsidRPr="00B74333">
        <w:rPr>
          <w:rFonts w:eastAsia="Calibri" w:cstheme="minorHAnsi"/>
          <w:color w:val="000000"/>
          <w:sz w:val="24"/>
          <w:szCs w:val="24"/>
          <w:lang w:bidi="en-US"/>
        </w:rPr>
        <w:t xml:space="preserve"> Party is entitled to seek remedy by notifying a written Notice to the defaulting Party. If the notified Party fails to remedy such breach within the deadline set in the Notice, the non-defaulting Party may terminate this Agreement and claim indemnity for damages, compensation of costs or otherwise pursuant to Article 5 and shall also be entitled to </w:t>
      </w:r>
      <w:r w:rsidR="0055310B" w:rsidRPr="00B74333">
        <w:rPr>
          <w:rFonts w:eastAsia="Calibri" w:cstheme="minorHAnsi"/>
          <w:color w:val="000000"/>
          <w:sz w:val="24"/>
          <w:szCs w:val="24"/>
          <w:lang w:bidi="en-US"/>
        </w:rPr>
        <w:t>request</w:t>
      </w:r>
      <w:r w:rsidR="00532C59" w:rsidRPr="00B74333">
        <w:rPr>
          <w:rFonts w:eastAsia="Calibri" w:cstheme="minorHAnsi"/>
          <w:color w:val="000000"/>
          <w:sz w:val="24"/>
          <w:szCs w:val="24"/>
          <w:lang w:bidi="en-US"/>
        </w:rPr>
        <w:t xml:space="preserve"> </w:t>
      </w:r>
      <w:r w:rsidR="0055310B" w:rsidRPr="00B74333">
        <w:rPr>
          <w:rFonts w:eastAsia="Calibri" w:cstheme="minorHAnsi"/>
          <w:color w:val="000000"/>
          <w:sz w:val="24"/>
          <w:szCs w:val="24"/>
          <w:lang w:bidi="en-US"/>
        </w:rPr>
        <w:t>forfeiture</w:t>
      </w:r>
      <w:r w:rsidR="00532C59" w:rsidRPr="00B74333">
        <w:rPr>
          <w:rFonts w:eastAsia="Calibri" w:cstheme="minorHAnsi"/>
          <w:color w:val="000000"/>
          <w:sz w:val="24"/>
          <w:szCs w:val="24"/>
          <w:lang w:bidi="en-US"/>
        </w:rPr>
        <w:t xml:space="preserve"> of</w:t>
      </w:r>
      <w:r w:rsidR="0055310B"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 xml:space="preserve">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w:t>
      </w:r>
    </w:p>
    <w:p w14:paraId="4CD9047A" w14:textId="77777777" w:rsidR="00192F18" w:rsidRPr="00B74333" w:rsidRDefault="00192F18">
      <w:pPr>
        <w:widowControl w:val="0"/>
        <w:numPr>
          <w:ilvl w:val="1"/>
          <w:numId w:val="50"/>
        </w:numPr>
        <w:tabs>
          <w:tab w:val="left" w:pos="716"/>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Upon termination of this Agreement the Parties shall have no further obligations on the Termination Date, but termination shall not affect:</w:t>
      </w:r>
    </w:p>
    <w:p w14:paraId="3C8D8779" w14:textId="1FAF6A3A" w:rsidR="00192F18" w:rsidRPr="00B74333" w:rsidRDefault="00192F18">
      <w:pPr>
        <w:widowControl w:val="0"/>
        <w:numPr>
          <w:ilvl w:val="0"/>
          <w:numId w:val="51"/>
        </w:numPr>
        <w:tabs>
          <w:tab w:val="left" w:pos="716"/>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provisions of the Agreement as they relate to the payment of any sum due by one Party to the other Party in relation to this Agreement; and</w:t>
      </w:r>
    </w:p>
    <w:p w14:paraId="1C930DEB" w14:textId="77777777" w:rsidR="00192F18" w:rsidRPr="00B74333" w:rsidRDefault="00192F18">
      <w:pPr>
        <w:widowControl w:val="0"/>
        <w:numPr>
          <w:ilvl w:val="0"/>
          <w:numId w:val="51"/>
        </w:numPr>
        <w:tabs>
          <w:tab w:val="left" w:pos="716"/>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rights and obligations of the Parties pursuant to Articles 2.4. (Scope of the Agreement and Obligations of the Parties), 8 (Confidentiality), 11 (Governing Law and Dispute Resolution) and 12.3 (Notices) that shall continue in full force and effect; and</w:t>
      </w:r>
    </w:p>
    <w:p w14:paraId="5089A57F" w14:textId="00F1945F" w:rsidR="00192F18" w:rsidRPr="00B74333" w:rsidRDefault="00192F18">
      <w:pPr>
        <w:widowControl w:val="0"/>
        <w:numPr>
          <w:ilvl w:val="0"/>
          <w:numId w:val="51"/>
        </w:numPr>
        <w:tabs>
          <w:tab w:val="left" w:pos="716"/>
        </w:tabs>
        <w:spacing w:after="6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 Party</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s right to claim for a breach of the other Party</w:t>
      </w:r>
      <w:r w:rsidR="00F8269F" w:rsidRPr="00B74333">
        <w:rPr>
          <w:rFonts w:eastAsia="Calibri" w:cstheme="minorHAnsi"/>
          <w:color w:val="000000"/>
          <w:sz w:val="24"/>
          <w:szCs w:val="24"/>
          <w:lang w:bidi="en-US"/>
        </w:rPr>
        <w:t>’</w:t>
      </w:r>
      <w:r w:rsidRPr="00B74333">
        <w:rPr>
          <w:rFonts w:eastAsia="Calibri" w:cstheme="minorHAnsi"/>
          <w:color w:val="000000"/>
          <w:sz w:val="24"/>
          <w:szCs w:val="24"/>
          <w:lang w:bidi="en-US"/>
        </w:rPr>
        <w:t>s obligations in relation to this Agreement if that breach occurred before termination.</w:t>
      </w:r>
    </w:p>
    <w:p w14:paraId="4B9ECAA9" w14:textId="77777777" w:rsidR="00192F18" w:rsidRPr="00B74333" w:rsidRDefault="00192F18">
      <w:pPr>
        <w:keepNext/>
        <w:keepLines/>
        <w:widowControl w:val="0"/>
        <w:numPr>
          <w:ilvl w:val="0"/>
          <w:numId w:val="52"/>
        </w:numPr>
        <w:tabs>
          <w:tab w:val="left" w:pos="961"/>
        </w:tabs>
        <w:spacing w:after="80" w:line="254" w:lineRule="auto"/>
        <w:jc w:val="center"/>
        <w:outlineLvl w:val="3"/>
        <w:rPr>
          <w:rFonts w:eastAsia="Calibri" w:cstheme="minorHAnsi"/>
          <w:b/>
          <w:color w:val="000000"/>
          <w:sz w:val="24"/>
          <w:szCs w:val="24"/>
          <w:lang w:bidi="en-US"/>
        </w:rPr>
      </w:pPr>
      <w:bookmarkStart w:id="101" w:name="bookmark38"/>
      <w:r w:rsidRPr="00B74333">
        <w:rPr>
          <w:rFonts w:eastAsia="Calibri" w:cstheme="minorHAnsi"/>
          <w:b/>
          <w:color w:val="000000"/>
          <w:sz w:val="24"/>
          <w:szCs w:val="24"/>
          <w:lang w:bidi="en-US"/>
        </w:rPr>
        <w:t>Guarantee</w:t>
      </w:r>
      <w:bookmarkEnd w:id="101"/>
    </w:p>
    <w:p w14:paraId="25D180D9" w14:textId="3DF59C1B" w:rsidR="00192F18" w:rsidRPr="00B74333" w:rsidRDefault="00192F18" w:rsidP="00D96BAD">
      <w:pPr>
        <w:widowControl w:val="0"/>
        <w:numPr>
          <w:ilvl w:val="1"/>
          <w:numId w:val="53"/>
        </w:numPr>
        <w:tabs>
          <w:tab w:val="left" w:pos="716"/>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presented to DESFA a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on first demand, issued by (i) any Greek financial institute supervised by the ECB (systemic Banks, namely any of Alpha Bank, Eurobank, National Bank of Greece and Piraeus Bank) including their subsidiaries, or (ii) any Greek branch of an internationally reputable bank with a minimum investment grade credit rating from the following Agencies: BBB at Standard and Poor’s, BBB at Fitch or Baa3 at Moody’s, or (iii) any internationally reputable bank with a minimum investment grade credit rating (as described above), or (iv) any subsidiary of an internationally reputable bank with a minimum investment grade credit rating (as described above), or (v) any subsidiary of an internationally reputable bank without a minimum investment grade credit rating (or without </w:t>
      </w:r>
      <w:r w:rsidRPr="00B74333">
        <w:rPr>
          <w:rFonts w:eastAsia="Calibri" w:cstheme="minorHAnsi"/>
          <w:color w:val="000000"/>
          <w:sz w:val="24"/>
          <w:szCs w:val="24"/>
          <w:lang w:bidi="en-US"/>
        </w:rPr>
        <w:lastRenderedPageBreak/>
        <w:t xml:space="preserve">any rating at all), provided that 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is counter-guaranteed by any internationally reputable bank with a minimum investment grade credit rating (as described above), which has been approved in advance by DESFA, for an amount of [•] € ([•] Euros) and for the duration provided for in Article 3.2.(a), i.e. until [DD/MM/YYYY], 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itself attached in </w:t>
      </w:r>
      <w:r w:rsidR="00E94C11" w:rsidRPr="00B74333">
        <w:rPr>
          <w:rFonts w:eastAsia="Calibri" w:cstheme="minorHAnsi"/>
          <w:color w:val="000000"/>
          <w:sz w:val="24"/>
          <w:szCs w:val="24"/>
          <w:lang w:bidi="en-US"/>
        </w:rPr>
        <w:t>Appendix</w:t>
      </w:r>
      <w:r w:rsidRPr="00B74333">
        <w:rPr>
          <w:rFonts w:eastAsia="Calibri" w:cstheme="minorHAnsi"/>
          <w:color w:val="000000"/>
          <w:sz w:val="24"/>
          <w:szCs w:val="24"/>
          <w:lang w:bidi="en-US"/>
        </w:rPr>
        <w:t xml:space="preserve"> II. The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has the form provided for in </w:t>
      </w:r>
      <w:r w:rsidR="00693CC3" w:rsidRPr="00B74333">
        <w:rPr>
          <w:rFonts w:eastAsia="Calibri" w:cstheme="minorHAnsi"/>
          <w:color w:val="000000"/>
          <w:sz w:val="24"/>
          <w:szCs w:val="24"/>
          <w:lang w:bidi="en-US"/>
        </w:rPr>
        <w:t xml:space="preserve">Appendix II of the </w:t>
      </w:r>
      <w:r w:rsidR="00D96BAD" w:rsidRPr="00B74333">
        <w:rPr>
          <w:rFonts w:eastAsia="Calibri" w:cstheme="minorHAnsi"/>
          <w:color w:val="000000"/>
          <w:sz w:val="24"/>
          <w:szCs w:val="24"/>
          <w:lang w:bidi="en-US"/>
        </w:rPr>
        <w:t xml:space="preserve">Form of Gas Transportation Agreement </w:t>
      </w:r>
      <w:r w:rsidR="00511AFD" w:rsidRPr="00B74333">
        <w:rPr>
          <w:rFonts w:eastAsia="Calibri" w:cstheme="minorHAnsi"/>
          <w:color w:val="000000"/>
          <w:sz w:val="24"/>
          <w:szCs w:val="24"/>
          <w:lang w:bidi="en-US"/>
        </w:rPr>
        <w:t xml:space="preserve">of the Binding Phase </w:t>
      </w:r>
      <w:proofErr w:type="spellStart"/>
      <w:r w:rsidR="00511AFD" w:rsidRPr="00B74333">
        <w:rPr>
          <w:rFonts w:eastAsia="Calibri" w:cstheme="minorHAnsi"/>
          <w:color w:val="000000"/>
          <w:sz w:val="24"/>
          <w:szCs w:val="24"/>
          <w:lang w:bidi="en-US"/>
        </w:rPr>
        <w:t>Νotice</w:t>
      </w:r>
      <w:proofErr w:type="spellEnd"/>
      <w:r w:rsidR="00427433" w:rsidRPr="00B74333">
        <w:rPr>
          <w:rFonts w:eastAsia="Calibri" w:cstheme="minorHAnsi"/>
          <w:color w:val="000000"/>
          <w:sz w:val="24"/>
          <w:szCs w:val="24"/>
          <w:lang w:bidi="en-US"/>
        </w:rPr>
        <w:t>,</w:t>
      </w:r>
      <w:r w:rsidR="00511AFD" w:rsidRPr="00B74333">
        <w:rPr>
          <w:rFonts w:eastAsia="Calibri" w:cstheme="minorHAnsi"/>
          <w:color w:val="000000"/>
          <w:sz w:val="24"/>
          <w:szCs w:val="24"/>
          <w:lang w:bidi="en-US"/>
        </w:rPr>
        <w:t xml:space="preserve"> </w:t>
      </w:r>
      <w:r w:rsidR="009A12ED" w:rsidRPr="00B74333">
        <w:rPr>
          <w:rFonts w:eastAsia="Calibri" w:cstheme="minorHAnsi"/>
          <w:color w:val="000000"/>
          <w:sz w:val="24"/>
          <w:szCs w:val="24"/>
          <w:lang w:bidi="en-US"/>
        </w:rPr>
        <w:t>or preferably in the form of a swift message incorporating the content</w:t>
      </w:r>
      <w:r w:rsidR="008A5872" w:rsidRPr="00B74333">
        <w:rPr>
          <w:rFonts w:eastAsia="Calibri" w:cstheme="minorHAnsi"/>
          <w:color w:val="000000"/>
          <w:sz w:val="24"/>
          <w:szCs w:val="24"/>
          <w:lang w:bidi="en-US"/>
        </w:rPr>
        <w:t xml:space="preserve"> of Appendix II</w:t>
      </w:r>
      <w:r w:rsidR="00427433" w:rsidRPr="00B74333">
        <w:rPr>
          <w:rFonts w:eastAsia="Calibri" w:cstheme="minorHAnsi"/>
          <w:color w:val="000000"/>
          <w:sz w:val="24"/>
          <w:szCs w:val="24"/>
          <w:lang w:bidi="en-US"/>
        </w:rPr>
        <w:t>,</w:t>
      </w:r>
      <w:r w:rsidR="009A12ED"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and its amount has been calculated in accordance with the relevant provisions of the</w:t>
      </w:r>
      <w:r w:rsidR="008D3171" w:rsidRPr="00B74333">
        <w:rPr>
          <w:rFonts w:eastAsia="Calibri" w:cstheme="minorHAnsi"/>
          <w:color w:val="000000"/>
          <w:sz w:val="24"/>
          <w:szCs w:val="24"/>
          <w:lang w:bidi="en-US"/>
        </w:rPr>
        <w:t xml:space="preserve"> Guidelines</w:t>
      </w:r>
      <w:r w:rsidRPr="00B74333">
        <w:rPr>
          <w:rFonts w:eastAsia="Calibri" w:cstheme="minorHAnsi"/>
          <w:color w:val="000000"/>
          <w:sz w:val="24"/>
          <w:szCs w:val="24"/>
          <w:lang w:bidi="en-US"/>
        </w:rPr>
        <w:t>.</w:t>
      </w:r>
    </w:p>
    <w:p w14:paraId="7148DB4C" w14:textId="77777777" w:rsidR="00192F18" w:rsidRPr="00B74333" w:rsidRDefault="00192F18">
      <w:pPr>
        <w:widowControl w:val="0"/>
        <w:numPr>
          <w:ilvl w:val="1"/>
          <w:numId w:val="53"/>
        </w:numPr>
        <w:tabs>
          <w:tab w:val="left" w:pos="716"/>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Thirty (30) days before the COD, the Company shall present to DESFA the TFA Guarantee for the Approved Firm Service Application(s) pursuant to Article 2.3.</w:t>
      </w:r>
    </w:p>
    <w:p w14:paraId="1311E3FB" w14:textId="77777777" w:rsidR="00192F18" w:rsidRPr="00B74333" w:rsidRDefault="00192F18">
      <w:pPr>
        <w:widowControl w:val="0"/>
        <w:numPr>
          <w:ilvl w:val="1"/>
          <w:numId w:val="53"/>
        </w:numPr>
        <w:tabs>
          <w:tab w:val="left" w:pos="716"/>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is entitled to request the reduction of its GTA Guarantee up to </w:t>
      </w:r>
      <w:proofErr w:type="gramStart"/>
      <w:r w:rsidRPr="00B74333">
        <w:rPr>
          <w:rFonts w:eastAsia="Calibri" w:cstheme="minorHAnsi"/>
          <w:color w:val="000000"/>
          <w:sz w:val="24"/>
          <w:szCs w:val="24"/>
          <w:lang w:bidi="en-US"/>
        </w:rPr>
        <w:t>an</w:t>
      </w:r>
      <w:proofErr w:type="gramEnd"/>
      <w:r w:rsidRPr="00B74333">
        <w:rPr>
          <w:rFonts w:eastAsia="Calibri" w:cstheme="minorHAnsi"/>
          <w:color w:val="000000"/>
          <w:sz w:val="24"/>
          <w:szCs w:val="24"/>
          <w:lang w:bidi="en-US"/>
        </w:rPr>
        <w:t xml:space="preserve"> amount of the TFA Guarantee, subject to Article 4.2.</w:t>
      </w:r>
    </w:p>
    <w:p w14:paraId="3063C0EB" w14:textId="77777777" w:rsidR="00192F18" w:rsidRPr="00B74333" w:rsidRDefault="00192F18">
      <w:pPr>
        <w:widowControl w:val="0"/>
        <w:numPr>
          <w:ilvl w:val="1"/>
          <w:numId w:val="53"/>
        </w:numPr>
        <w:tabs>
          <w:tab w:val="left" w:pos="716"/>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undertakes to </w:t>
      </w:r>
      <w:proofErr w:type="gramStart"/>
      <w:r w:rsidRPr="00B74333">
        <w:rPr>
          <w:rFonts w:eastAsia="Calibri" w:cstheme="minorHAnsi"/>
          <w:color w:val="000000"/>
          <w:sz w:val="24"/>
          <w:szCs w:val="24"/>
          <w:lang w:bidi="en-US"/>
        </w:rPr>
        <w:t>keep at all times</w:t>
      </w:r>
      <w:proofErr w:type="gramEnd"/>
      <w:r w:rsidRPr="00B74333">
        <w:rPr>
          <w:rFonts w:eastAsia="Calibri" w:cstheme="minorHAnsi"/>
          <w:color w:val="000000"/>
          <w:sz w:val="24"/>
          <w:szCs w:val="24"/>
          <w:lang w:bidi="en-US"/>
        </w:rPr>
        <w:t xml:space="preserve"> the GTA Guarantee in full force and effect up to the Termination Date and for the amount provided for in Article 4.1, subject to Article 4.3. In case of partial forfeiture of the GTA Guarantee for any reason, the Company undertakes to take all necessary actions, within five (5) working days, </w:t>
      </w:r>
      <w:proofErr w:type="gramStart"/>
      <w:r w:rsidRPr="00B74333">
        <w:rPr>
          <w:rFonts w:eastAsia="Calibri" w:cstheme="minorHAnsi"/>
          <w:color w:val="000000"/>
          <w:sz w:val="24"/>
          <w:szCs w:val="24"/>
          <w:lang w:bidi="en-US"/>
        </w:rPr>
        <w:t>in order to</w:t>
      </w:r>
      <w:proofErr w:type="gramEnd"/>
      <w:r w:rsidRPr="00B74333">
        <w:rPr>
          <w:rFonts w:eastAsia="Calibri" w:cstheme="minorHAnsi"/>
          <w:color w:val="000000"/>
          <w:sz w:val="24"/>
          <w:szCs w:val="24"/>
          <w:lang w:bidi="en-US"/>
        </w:rPr>
        <w:t xml:space="preserve"> ensure that the GTA Guarantee held by DESFA will fully cover the amount provided for in Article 4.1 above.</w:t>
      </w:r>
    </w:p>
    <w:p w14:paraId="7DECBBB4" w14:textId="77777777" w:rsidR="00192F18" w:rsidRPr="00B74333" w:rsidRDefault="00192F18">
      <w:pPr>
        <w:widowControl w:val="0"/>
        <w:numPr>
          <w:ilvl w:val="1"/>
          <w:numId w:val="53"/>
        </w:numPr>
        <w:tabs>
          <w:tab w:val="left" w:pos="725"/>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GTA Guarantee shall be returned to the Company upon:</w:t>
      </w:r>
    </w:p>
    <w:p w14:paraId="7DE9DB67" w14:textId="2934FB97" w:rsidR="00192F18" w:rsidRPr="00B74333" w:rsidRDefault="00F8269F">
      <w:pPr>
        <w:widowControl w:val="0"/>
        <w:numPr>
          <w:ilvl w:val="0"/>
          <w:numId w:val="54"/>
        </w:numPr>
        <w:tabs>
          <w:tab w:val="left" w:pos="725"/>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w:t>
      </w:r>
      <w:r w:rsidR="00192F18" w:rsidRPr="00B74333">
        <w:rPr>
          <w:rFonts w:eastAsia="Calibri" w:cstheme="minorHAnsi"/>
          <w:color w:val="000000"/>
          <w:sz w:val="24"/>
          <w:szCs w:val="24"/>
          <w:lang w:bidi="en-US"/>
        </w:rPr>
        <w:t xml:space="preserve">he last day of the sixth month succeeding the end of the first Gas Year of the Allocated Capacity, subject to the duly and timely payment by the Company of the applicable charges as invoiced by DESFA for that Gas Year according to the </w:t>
      </w:r>
      <w:r w:rsidR="005940E2" w:rsidRPr="00B74333">
        <w:rPr>
          <w:rFonts w:eastAsia="Calibri" w:cstheme="minorHAnsi"/>
          <w:color w:val="000000"/>
          <w:sz w:val="24"/>
          <w:szCs w:val="24"/>
          <w:lang w:bidi="en-US"/>
        </w:rPr>
        <w:t>NNGS Standard</w:t>
      </w:r>
      <w:r w:rsidR="005940E2" w:rsidRPr="00B74333">
        <w:rPr>
          <w:rFonts w:eastAsia="Calibri" w:cstheme="minorHAnsi"/>
          <w:b/>
          <w:color w:val="000000"/>
          <w:sz w:val="24"/>
          <w:szCs w:val="24"/>
          <w:lang w:bidi="en-US"/>
        </w:rPr>
        <w:t xml:space="preserve"> </w:t>
      </w:r>
      <w:r w:rsidR="00192F18" w:rsidRPr="00B74333">
        <w:rPr>
          <w:rFonts w:eastAsia="Calibri" w:cstheme="minorHAnsi"/>
          <w:color w:val="000000"/>
          <w:sz w:val="24"/>
          <w:szCs w:val="24"/>
          <w:lang w:bidi="en-US"/>
        </w:rPr>
        <w:t xml:space="preserve">Transmission Agreement, the </w:t>
      </w:r>
      <w:r w:rsidRPr="00B74333">
        <w:rPr>
          <w:rFonts w:eastAsia="Calibri" w:cstheme="minorHAnsi"/>
          <w:color w:val="000000"/>
          <w:sz w:val="24"/>
          <w:szCs w:val="24"/>
          <w:lang w:bidi="en-US"/>
        </w:rPr>
        <w:t xml:space="preserve">NNGS </w:t>
      </w:r>
      <w:r w:rsidR="00192F18" w:rsidRPr="00B74333">
        <w:rPr>
          <w:rFonts w:eastAsia="Calibri" w:cstheme="minorHAnsi"/>
          <w:color w:val="000000"/>
          <w:sz w:val="24"/>
          <w:szCs w:val="24"/>
          <w:lang w:bidi="en-US"/>
        </w:rPr>
        <w:t>Network Code and the Tariff Regulation</w:t>
      </w:r>
      <w:r w:rsidR="003377EA" w:rsidRPr="00B74333">
        <w:rPr>
          <w:rFonts w:eastAsia="Calibri" w:cstheme="minorHAnsi"/>
          <w:color w:val="000000"/>
          <w:sz w:val="24"/>
          <w:szCs w:val="24"/>
          <w:lang w:bidi="en-US"/>
        </w:rPr>
        <w:t>,</w:t>
      </w:r>
      <w:r w:rsidR="00192F18" w:rsidRPr="00B74333">
        <w:rPr>
          <w:rFonts w:eastAsia="Calibri" w:cstheme="minorHAnsi"/>
          <w:color w:val="000000"/>
          <w:sz w:val="24"/>
          <w:szCs w:val="24"/>
          <w:lang w:bidi="en-US"/>
        </w:rPr>
        <w:t xml:space="preserve"> or</w:t>
      </w:r>
    </w:p>
    <w:p w14:paraId="0F92F7BB" w14:textId="5DA711A0" w:rsidR="00192F18" w:rsidRPr="00B74333" w:rsidRDefault="00192F18">
      <w:pPr>
        <w:widowControl w:val="0"/>
        <w:numPr>
          <w:ilvl w:val="0"/>
          <w:numId w:val="54"/>
        </w:numPr>
        <w:tabs>
          <w:tab w:val="left" w:pos="725"/>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sixty (60) day after </w:t>
      </w:r>
      <w:r w:rsidR="00CC2D0E" w:rsidRPr="00B74333">
        <w:rPr>
          <w:rFonts w:eastAsia="Calibri" w:cstheme="minorHAnsi"/>
          <w:color w:val="000000"/>
          <w:sz w:val="24"/>
          <w:szCs w:val="24"/>
          <w:lang w:bidi="en-US"/>
        </w:rPr>
        <w:t xml:space="preserve">the </w:t>
      </w:r>
      <w:r w:rsidR="00DE5C62" w:rsidRPr="00B74333">
        <w:rPr>
          <w:rFonts w:eastAsia="Calibri" w:cstheme="minorHAnsi"/>
          <w:color w:val="000000"/>
          <w:sz w:val="24"/>
          <w:szCs w:val="24"/>
          <w:lang w:bidi="en-US"/>
        </w:rPr>
        <w:t>da</w:t>
      </w:r>
      <w:r w:rsidR="000A4A2F" w:rsidRPr="00B74333">
        <w:rPr>
          <w:rFonts w:eastAsia="Calibri" w:cstheme="minorHAnsi"/>
          <w:color w:val="000000"/>
          <w:sz w:val="24"/>
          <w:szCs w:val="24"/>
          <w:lang w:bidi="en-US"/>
        </w:rPr>
        <w:t xml:space="preserve">te of receipt </w:t>
      </w:r>
      <w:r w:rsidR="00DA79A8" w:rsidRPr="00B74333">
        <w:rPr>
          <w:rFonts w:eastAsia="Calibri" w:cstheme="minorHAnsi"/>
          <w:color w:val="000000"/>
          <w:sz w:val="24"/>
          <w:szCs w:val="24"/>
          <w:lang w:bidi="en-US"/>
        </w:rPr>
        <w:t xml:space="preserve">of the written </w:t>
      </w:r>
      <w:r w:rsidR="00FE7EEB" w:rsidRPr="00B74333">
        <w:rPr>
          <w:rFonts w:eastAsia="Calibri" w:cstheme="minorHAnsi"/>
          <w:color w:val="000000"/>
          <w:sz w:val="24"/>
          <w:szCs w:val="24"/>
          <w:lang w:bidi="en-US"/>
        </w:rPr>
        <w:t xml:space="preserve">Notice </w:t>
      </w:r>
      <w:r w:rsidRPr="00B74333">
        <w:rPr>
          <w:rFonts w:eastAsia="Calibri" w:cstheme="minorHAnsi"/>
          <w:color w:val="000000"/>
          <w:sz w:val="24"/>
          <w:szCs w:val="24"/>
          <w:lang w:bidi="en-US"/>
        </w:rPr>
        <w:t>pursuant to Article 3.2.</w:t>
      </w:r>
      <w:r w:rsidR="00E66917" w:rsidRPr="00B74333">
        <w:rPr>
          <w:rFonts w:eastAsia="Calibri" w:cstheme="minorHAnsi"/>
          <w:color w:val="000000"/>
          <w:sz w:val="24"/>
          <w:szCs w:val="24"/>
          <w:lang w:bidi="en-US"/>
        </w:rPr>
        <w:t>(</w:t>
      </w:r>
      <w:r w:rsidR="00CC2D0E" w:rsidRPr="00B74333">
        <w:rPr>
          <w:rFonts w:eastAsia="Calibri" w:cstheme="minorHAnsi"/>
          <w:color w:val="000000"/>
          <w:sz w:val="24"/>
          <w:szCs w:val="24"/>
          <w:lang w:bidi="en-US"/>
        </w:rPr>
        <w:t>b</w:t>
      </w:r>
      <w:proofErr w:type="gramStart"/>
      <w:r w:rsidR="00E66917" w:rsidRPr="00B74333">
        <w:rPr>
          <w:rFonts w:eastAsia="Calibri" w:cstheme="minorHAnsi"/>
          <w:color w:val="000000"/>
          <w:sz w:val="24"/>
          <w:szCs w:val="24"/>
          <w:lang w:bidi="en-US"/>
        </w:rPr>
        <w:t>).</w:t>
      </w:r>
      <w:r w:rsidR="00CC2D0E" w:rsidRPr="00B74333">
        <w:rPr>
          <w:rFonts w:eastAsia="Calibri" w:cstheme="minorHAnsi"/>
          <w:color w:val="000000"/>
          <w:sz w:val="24"/>
          <w:szCs w:val="24"/>
          <w:lang w:bidi="en-US"/>
        </w:rPr>
        <w:t>i</w:t>
      </w:r>
      <w:proofErr w:type="gramEnd"/>
      <w:r w:rsidR="00330CB4" w:rsidRPr="00B74333">
        <w:rPr>
          <w:rFonts w:eastAsia="Calibri" w:cstheme="minorHAnsi"/>
          <w:color w:val="000000"/>
          <w:sz w:val="24"/>
          <w:szCs w:val="24"/>
          <w:lang w:bidi="en-US"/>
        </w:rPr>
        <w:t>,</w:t>
      </w:r>
      <w:r w:rsidRPr="00B74333">
        <w:rPr>
          <w:rFonts w:eastAsia="Calibri" w:cstheme="minorHAnsi"/>
          <w:color w:val="000000"/>
          <w:sz w:val="24"/>
          <w:szCs w:val="24"/>
          <w:lang w:bidi="en-US"/>
        </w:rPr>
        <w:t xml:space="preserve"> or</w:t>
      </w:r>
    </w:p>
    <w:p w14:paraId="088FACA6" w14:textId="33C7A5AA" w:rsidR="00192F18" w:rsidRPr="00B74333" w:rsidRDefault="00192F18" w:rsidP="00CB752D">
      <w:pPr>
        <w:widowControl w:val="0"/>
        <w:numPr>
          <w:ilvl w:val="0"/>
          <w:numId w:val="54"/>
        </w:numPr>
        <w:tabs>
          <w:tab w:val="left" w:pos="725"/>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sixty (60) day after the settlement of DESFA’s actual cost as per Article 3.4</w:t>
      </w:r>
      <w:r w:rsidR="00330CB4"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or</w:t>
      </w:r>
    </w:p>
    <w:p w14:paraId="0ADF03F2" w14:textId="0D2B499F" w:rsidR="00192F18" w:rsidRPr="00B74333" w:rsidRDefault="00192F18">
      <w:pPr>
        <w:widowControl w:val="0"/>
        <w:numPr>
          <w:ilvl w:val="0"/>
          <w:numId w:val="54"/>
        </w:numPr>
        <w:tabs>
          <w:tab w:val="left" w:pos="725"/>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sixty (60) day after the Long Stop Date pursuant to Article 3.3</w:t>
      </w:r>
      <w:r w:rsidR="00330CB4" w:rsidRPr="00B74333">
        <w:rPr>
          <w:rFonts w:eastAsia="Calibri" w:cstheme="minorHAnsi"/>
          <w:color w:val="000000"/>
          <w:sz w:val="24"/>
          <w:szCs w:val="24"/>
          <w:lang w:bidi="en-US"/>
        </w:rPr>
        <w:t>,</w:t>
      </w:r>
    </w:p>
    <w:p w14:paraId="28A711C3" w14:textId="78656450" w:rsidR="00192F18" w:rsidRPr="00B74333" w:rsidRDefault="00192F18" w:rsidP="00192F18">
      <w:pPr>
        <w:widowControl w:val="0"/>
        <w:spacing w:after="6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unless DESFA has raised claims under the GTA Guarantee prior to such date for the reasons provided for in Articles 2.1.(c) and 2.4 as well as in Articles 3.4 and 3.5, in which case the GTA Guarantee shall remain in force until DESFA's claim has been fully and unconditionally satisfied or settled, in accordance to Article 5.</w:t>
      </w:r>
      <w:r w:rsidR="00FF72FA" w:rsidRPr="00B74333">
        <w:rPr>
          <w:rFonts w:eastAsia="Calibri" w:cstheme="minorHAnsi"/>
          <w:color w:val="000000"/>
          <w:sz w:val="24"/>
          <w:szCs w:val="24"/>
          <w:lang w:bidi="en-US"/>
        </w:rPr>
        <w:t xml:space="preserve"> In case the GTA Guarantee expires before DESFA</w:t>
      </w:r>
      <w:r w:rsidR="005E3DF4" w:rsidRPr="00B74333">
        <w:rPr>
          <w:rFonts w:eastAsia="Calibri" w:cstheme="minorHAnsi"/>
          <w:color w:val="000000"/>
          <w:sz w:val="24"/>
          <w:szCs w:val="24"/>
          <w:lang w:bidi="en-US"/>
        </w:rPr>
        <w:t xml:space="preserve"> is</w:t>
      </w:r>
      <w:r w:rsidR="00FF72FA" w:rsidRPr="00B74333">
        <w:rPr>
          <w:rFonts w:eastAsia="Calibri" w:cstheme="minorHAnsi"/>
          <w:color w:val="000000"/>
          <w:sz w:val="24"/>
          <w:szCs w:val="24"/>
          <w:lang w:bidi="en-US"/>
        </w:rPr>
        <w:t xml:space="preserve"> </w:t>
      </w:r>
      <w:r w:rsidR="005E3DF4" w:rsidRPr="00B74333">
        <w:rPr>
          <w:rFonts w:eastAsia="Calibri" w:cstheme="minorHAnsi"/>
          <w:color w:val="000000"/>
          <w:sz w:val="24"/>
          <w:szCs w:val="24"/>
          <w:lang w:bidi="en-US"/>
        </w:rPr>
        <w:t>fully satisfied,</w:t>
      </w:r>
      <w:r w:rsidR="00FF72FA" w:rsidRPr="00B74333">
        <w:rPr>
          <w:rFonts w:eastAsia="Calibri" w:cstheme="minorHAnsi"/>
          <w:color w:val="000000"/>
          <w:sz w:val="24"/>
          <w:szCs w:val="24"/>
          <w:lang w:bidi="en-US"/>
        </w:rPr>
        <w:t xml:space="preserve"> DESFA shall be entitled to request </w:t>
      </w:r>
      <w:r w:rsidR="005E3DF4" w:rsidRPr="00B74333">
        <w:rPr>
          <w:rFonts w:eastAsia="Calibri" w:cstheme="minorHAnsi"/>
          <w:color w:val="000000"/>
          <w:sz w:val="24"/>
          <w:szCs w:val="24"/>
          <w:lang w:bidi="en-US"/>
        </w:rPr>
        <w:t xml:space="preserve">its </w:t>
      </w:r>
      <w:r w:rsidR="00FF72FA" w:rsidRPr="00B74333">
        <w:rPr>
          <w:rFonts w:eastAsia="Calibri" w:cstheme="minorHAnsi"/>
          <w:color w:val="000000"/>
          <w:sz w:val="24"/>
          <w:szCs w:val="24"/>
          <w:lang w:bidi="en-US"/>
        </w:rPr>
        <w:t>forfeiture</w:t>
      </w:r>
      <w:r w:rsidR="00CB4538" w:rsidRPr="00B74333">
        <w:rPr>
          <w:rFonts w:eastAsia="Calibri" w:cstheme="minorHAnsi"/>
          <w:color w:val="000000"/>
          <w:sz w:val="24"/>
          <w:szCs w:val="24"/>
          <w:lang w:bidi="en-US"/>
        </w:rPr>
        <w:t xml:space="preserve"> for </w:t>
      </w:r>
      <w:r w:rsidR="00440A3E" w:rsidRPr="00B74333">
        <w:rPr>
          <w:rFonts w:eastAsia="Calibri" w:cstheme="minorHAnsi"/>
          <w:color w:val="000000"/>
          <w:sz w:val="24"/>
          <w:szCs w:val="24"/>
          <w:lang w:bidi="en-US"/>
        </w:rPr>
        <w:t>any</w:t>
      </w:r>
      <w:r w:rsidR="00CB4538" w:rsidRPr="00B74333">
        <w:rPr>
          <w:rFonts w:eastAsia="Calibri" w:cstheme="minorHAnsi"/>
          <w:color w:val="000000"/>
          <w:sz w:val="24"/>
          <w:szCs w:val="24"/>
          <w:lang w:bidi="en-US"/>
        </w:rPr>
        <w:t xml:space="preserve"> amount due</w:t>
      </w:r>
      <w:r w:rsidR="005E3DF4" w:rsidRPr="00B74333">
        <w:rPr>
          <w:rFonts w:cstheme="minorHAnsi"/>
        </w:rPr>
        <w:t>.</w:t>
      </w:r>
    </w:p>
    <w:p w14:paraId="2C613E2F" w14:textId="77777777" w:rsidR="00192F18" w:rsidRPr="00B74333" w:rsidRDefault="00192F18">
      <w:pPr>
        <w:keepNext/>
        <w:keepLines/>
        <w:widowControl w:val="0"/>
        <w:numPr>
          <w:ilvl w:val="0"/>
          <w:numId w:val="52"/>
        </w:numPr>
        <w:tabs>
          <w:tab w:val="left" w:pos="956"/>
        </w:tabs>
        <w:spacing w:after="80" w:line="257" w:lineRule="auto"/>
        <w:jc w:val="center"/>
        <w:outlineLvl w:val="3"/>
        <w:rPr>
          <w:rFonts w:eastAsia="Calibri" w:cstheme="minorHAnsi"/>
          <w:b/>
          <w:color w:val="000000"/>
          <w:sz w:val="24"/>
          <w:szCs w:val="24"/>
          <w:lang w:bidi="en-US"/>
        </w:rPr>
      </w:pPr>
      <w:bookmarkStart w:id="102" w:name="bookmark40"/>
      <w:r w:rsidRPr="00B74333">
        <w:rPr>
          <w:rFonts w:eastAsia="Calibri" w:cstheme="minorHAnsi"/>
          <w:b/>
          <w:color w:val="000000"/>
          <w:sz w:val="24"/>
          <w:szCs w:val="24"/>
          <w:lang w:bidi="en-US"/>
        </w:rPr>
        <w:t>Liability</w:t>
      </w:r>
      <w:bookmarkEnd w:id="102"/>
    </w:p>
    <w:p w14:paraId="299B4A79" w14:textId="77777777" w:rsidR="00192F18" w:rsidRPr="00B74333" w:rsidRDefault="00192F18">
      <w:pPr>
        <w:widowControl w:val="0"/>
        <w:numPr>
          <w:ilvl w:val="1"/>
          <w:numId w:val="55"/>
        </w:numPr>
        <w:tabs>
          <w:tab w:val="left" w:pos="725"/>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shall indemnify and hold DESFA harmless as of the Effective Date up to the Termination Date for any direct loss, claim, cost, charge, expense, liability and/or damage resulting from or arising out of or in connection with this Agreement or the performance or </w:t>
      </w:r>
      <w:r w:rsidRPr="00B74333">
        <w:rPr>
          <w:rFonts w:eastAsia="Calibri" w:cstheme="minorHAnsi"/>
          <w:color w:val="000000"/>
          <w:sz w:val="24"/>
          <w:szCs w:val="24"/>
          <w:lang w:bidi="en-US"/>
        </w:rPr>
        <w:lastRenderedPageBreak/>
        <w:t>non-performance or the material breach of its obligations under this Agreement.</w:t>
      </w:r>
    </w:p>
    <w:p w14:paraId="4584BCAE" w14:textId="77777777" w:rsidR="00192F18" w:rsidRPr="00B74333" w:rsidRDefault="00192F18">
      <w:pPr>
        <w:widowControl w:val="0"/>
        <w:numPr>
          <w:ilvl w:val="1"/>
          <w:numId w:val="55"/>
        </w:numPr>
        <w:tabs>
          <w:tab w:val="left" w:pos="725"/>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 DESFA shall indemnify and hold the Company harmless as of the Final</w:t>
      </w:r>
    </w:p>
    <w:p w14:paraId="104725F2"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Investment Decision up to the Termination Date for any direct loss, claim, cost, charge, expense, liability and/or damage resulting from or arising out of or in connection with this Agreement or the performance or non-performance or the material breach of its obligations under this Agreement.</w:t>
      </w:r>
    </w:p>
    <w:p w14:paraId="14877A60" w14:textId="77777777" w:rsidR="00192F18" w:rsidRPr="00B74333" w:rsidRDefault="00192F18" w:rsidP="00192F18">
      <w:pPr>
        <w:widowControl w:val="0"/>
        <w:spacing w:after="140" w:line="257" w:lineRule="auto"/>
        <w:ind w:firstLine="740"/>
        <w:jc w:val="both"/>
        <w:rPr>
          <w:rFonts w:eastAsia="Calibri" w:cstheme="minorHAnsi"/>
          <w:color w:val="000000"/>
          <w:sz w:val="24"/>
          <w:szCs w:val="24"/>
          <w:lang w:bidi="en-US"/>
        </w:rPr>
      </w:pPr>
      <w:r w:rsidRPr="00B74333">
        <w:rPr>
          <w:rFonts w:eastAsia="Calibri" w:cstheme="minorHAnsi"/>
          <w:color w:val="000000"/>
          <w:sz w:val="24"/>
          <w:szCs w:val="24"/>
          <w:lang w:bidi="en-US"/>
        </w:rPr>
        <w:t>(b) DESFA shall not be liable to the Company as of the Effective Date up and until the Long Stop Date for any direct loss, claim, cost, charge, expense, liability and/or damage resulting from or arising out of or in connection with this Agreement or the performance or non-performance of its obligations under this Agreement or otherwise in connection with the Incremental Capacity Project with the exception of cases of willful misconduct or gross negligence.</w:t>
      </w:r>
    </w:p>
    <w:p w14:paraId="2C6E76F7" w14:textId="77777777" w:rsidR="00192F18" w:rsidRPr="00B74333" w:rsidRDefault="00192F18">
      <w:pPr>
        <w:widowControl w:val="0"/>
        <w:numPr>
          <w:ilvl w:val="1"/>
          <w:numId w:val="55"/>
        </w:numPr>
        <w:tabs>
          <w:tab w:val="left" w:pos="725"/>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In no event shall either Party be liable to the other Party as of the Effective Date up to the Termination Date for any Consequential Loss resulting from or arising out of or in connection with this Agreement or the performance or non-performance or any breach of its obligations under this Agreement or otherwise in connection with the Incremental Capacity Project.</w:t>
      </w:r>
    </w:p>
    <w:p w14:paraId="24D69D27" w14:textId="6D5C071B" w:rsidR="00192F18" w:rsidRPr="00B74333" w:rsidRDefault="00192F18">
      <w:pPr>
        <w:widowControl w:val="0"/>
        <w:numPr>
          <w:ilvl w:val="1"/>
          <w:numId w:val="55"/>
        </w:numPr>
        <w:tabs>
          <w:tab w:val="left" w:pos="724"/>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As of the date on which DESFA will take the Final Investment Decision for the DESFA </w:t>
      </w:r>
      <w:r w:rsidR="004531EC" w:rsidRPr="00B74333">
        <w:rPr>
          <w:rFonts w:eastAsia="Calibri" w:cstheme="minorHAnsi"/>
          <w:color w:val="000000"/>
          <w:sz w:val="24"/>
          <w:szCs w:val="24"/>
          <w:lang w:bidi="en-US"/>
        </w:rPr>
        <w:t>P</w:t>
      </w:r>
      <w:r w:rsidRPr="00B74333">
        <w:rPr>
          <w:rFonts w:eastAsia="Calibri" w:cstheme="minorHAnsi"/>
          <w:color w:val="000000"/>
          <w:sz w:val="24"/>
          <w:szCs w:val="24"/>
          <w:lang w:bidi="en-US"/>
        </w:rPr>
        <w:t>art of the Project up and until COD or its permitted extension pursuant to Article 2.2.1, DESFA’s aggregate liability to the Company for any matters arising under or in connection with this Agreement or otherwise in connection with the Incremental Capacity Project, with the exception of cases of willful misconduct or gross negligence, shall not exceed in the aggregate of one million (1.000.000€) euros.</w:t>
      </w:r>
    </w:p>
    <w:p w14:paraId="28D697B6" w14:textId="29535C90" w:rsidR="00D95699" w:rsidRPr="00B74333" w:rsidRDefault="00D95699" w:rsidP="00D95699">
      <w:pPr>
        <w:widowControl w:val="0"/>
        <w:numPr>
          <w:ilvl w:val="1"/>
          <w:numId w:val="55"/>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Company hereby expressly acknowledge that if</w:t>
      </w:r>
      <w:r w:rsidR="00F436F6" w:rsidRPr="00B74333">
        <w:rPr>
          <w:rFonts w:eastAsia="Calibri" w:cstheme="minorHAnsi"/>
          <w:color w:val="000000"/>
          <w:sz w:val="24"/>
          <w:szCs w:val="24"/>
          <w:lang w:bidi="en-US"/>
        </w:rPr>
        <w:t xml:space="preserve"> the Company terminates this Agreement after the Step-out Deadline and prior to the Long Stop Date</w:t>
      </w:r>
      <w:r w:rsidR="004F5A63" w:rsidRPr="00B74333">
        <w:rPr>
          <w:rFonts w:eastAsia="Calibri" w:cstheme="minorHAnsi"/>
          <w:color w:val="000000"/>
          <w:sz w:val="24"/>
          <w:szCs w:val="24"/>
          <w:lang w:bidi="en-US"/>
        </w:rPr>
        <w:t xml:space="preserve"> for reason non-attributable to DESFA</w:t>
      </w:r>
      <w:r w:rsidR="00984512" w:rsidRPr="00B74333">
        <w:rPr>
          <w:rFonts w:eastAsia="Calibri" w:cstheme="minorHAnsi"/>
          <w:color w:val="000000"/>
          <w:sz w:val="24"/>
          <w:szCs w:val="24"/>
          <w:lang w:bidi="en-US"/>
        </w:rPr>
        <w:t xml:space="preserve"> shall be held liable to DESFA and shall pay to DESFA a penalty equal to the </w:t>
      </w:r>
      <w:r w:rsidR="00CF2D7A" w:rsidRPr="00B74333">
        <w:rPr>
          <w:rFonts w:eastAsia="Calibri" w:cstheme="minorHAnsi"/>
          <w:color w:val="000000"/>
          <w:sz w:val="24"/>
          <w:szCs w:val="24"/>
          <w:lang w:bidi="en-US"/>
        </w:rPr>
        <w:t>amount</w:t>
      </w:r>
      <w:r w:rsidR="00984512" w:rsidRPr="00B74333">
        <w:rPr>
          <w:rFonts w:eastAsia="Calibri" w:cstheme="minorHAnsi"/>
          <w:color w:val="000000"/>
          <w:sz w:val="24"/>
          <w:szCs w:val="24"/>
          <w:lang w:bidi="en-US"/>
        </w:rPr>
        <w:t xml:space="preserve"> of the GTA Guarantee</w:t>
      </w:r>
      <w:r w:rsidR="00A049EA" w:rsidRPr="00B74333">
        <w:rPr>
          <w:rFonts w:eastAsia="Calibri" w:cstheme="minorHAnsi"/>
          <w:color w:val="000000"/>
          <w:sz w:val="24"/>
          <w:szCs w:val="24"/>
          <w:lang w:bidi="en-US"/>
        </w:rPr>
        <w:t>.</w:t>
      </w:r>
      <w:r w:rsidR="00FC06E1" w:rsidRPr="00B74333">
        <w:rPr>
          <w:rFonts w:eastAsia="Calibri" w:cstheme="minorHAnsi"/>
          <w:color w:val="000000"/>
          <w:sz w:val="24"/>
          <w:szCs w:val="24"/>
          <w:lang w:bidi="en-US"/>
        </w:rPr>
        <w:t xml:space="preserve"> In such </w:t>
      </w:r>
      <w:proofErr w:type="gramStart"/>
      <w:r w:rsidR="00FC06E1" w:rsidRPr="00B74333">
        <w:rPr>
          <w:rFonts w:eastAsia="Calibri" w:cstheme="minorHAnsi"/>
          <w:color w:val="000000"/>
          <w:sz w:val="24"/>
          <w:szCs w:val="24"/>
          <w:lang w:bidi="en-US"/>
        </w:rPr>
        <w:t>case</w:t>
      </w:r>
      <w:proofErr w:type="gramEnd"/>
      <w:r w:rsidR="00FC06E1" w:rsidRPr="00B74333">
        <w:rPr>
          <w:rFonts w:eastAsia="Calibri" w:cstheme="minorHAnsi"/>
          <w:color w:val="000000"/>
          <w:sz w:val="24"/>
          <w:szCs w:val="24"/>
          <w:lang w:bidi="en-US"/>
        </w:rPr>
        <w:t>, DESFA is entitled to request forfeiture of the GTA Guarantee for the amount due.</w:t>
      </w:r>
    </w:p>
    <w:p w14:paraId="58579637" w14:textId="29ED6807" w:rsidR="00192F18" w:rsidRPr="00B74333" w:rsidRDefault="00192F18">
      <w:pPr>
        <w:widowControl w:val="0"/>
        <w:numPr>
          <w:ilvl w:val="1"/>
          <w:numId w:val="55"/>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themeColor="text1"/>
          <w:sz w:val="24"/>
          <w:szCs w:val="24"/>
          <w:lang w:bidi="en-US"/>
        </w:rPr>
        <w:t>The Company hereby expressly acknowledge that if:</w:t>
      </w:r>
    </w:p>
    <w:p w14:paraId="332AACE6" w14:textId="4E33F23D" w:rsidR="00192F18" w:rsidRPr="00B74333" w:rsidRDefault="00192F18">
      <w:pPr>
        <w:widowControl w:val="0"/>
        <w:numPr>
          <w:ilvl w:val="0"/>
          <w:numId w:val="56"/>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terminates this Agreement </w:t>
      </w:r>
      <w:r w:rsidR="006E1E92" w:rsidRPr="00B74333">
        <w:rPr>
          <w:rFonts w:eastAsia="Calibri" w:cstheme="minorHAnsi"/>
          <w:color w:val="000000"/>
          <w:sz w:val="24"/>
          <w:szCs w:val="24"/>
          <w:lang w:bidi="en-US"/>
        </w:rPr>
        <w:t xml:space="preserve">after the Long Stop Date </w:t>
      </w:r>
      <w:r w:rsidR="006F0533" w:rsidRPr="00B74333">
        <w:rPr>
          <w:rFonts w:eastAsia="Calibri" w:cstheme="minorHAnsi"/>
          <w:color w:val="000000"/>
          <w:sz w:val="24"/>
          <w:szCs w:val="24"/>
          <w:lang w:bidi="en-US"/>
        </w:rPr>
        <w:t xml:space="preserve">and </w:t>
      </w:r>
      <w:r w:rsidRPr="00B74333">
        <w:rPr>
          <w:rFonts w:eastAsia="Calibri" w:cstheme="minorHAnsi"/>
          <w:color w:val="000000"/>
          <w:sz w:val="24"/>
          <w:szCs w:val="24"/>
          <w:lang w:bidi="en-US"/>
        </w:rPr>
        <w:t xml:space="preserve">prior to </w:t>
      </w:r>
      <w:r w:rsidR="006F0533" w:rsidRPr="00B74333">
        <w:rPr>
          <w:rFonts w:eastAsia="Calibri" w:cstheme="minorHAnsi"/>
          <w:color w:val="000000"/>
          <w:sz w:val="24"/>
          <w:szCs w:val="24"/>
          <w:lang w:bidi="en-US"/>
        </w:rPr>
        <w:t xml:space="preserve">the </w:t>
      </w:r>
      <w:r w:rsidRPr="00B74333">
        <w:rPr>
          <w:rFonts w:eastAsia="Calibri" w:cstheme="minorHAnsi"/>
          <w:color w:val="000000"/>
          <w:sz w:val="24"/>
          <w:szCs w:val="24"/>
          <w:lang w:bidi="en-US"/>
        </w:rPr>
        <w:t>date mentioned in Article 3.2.(a) for reason non-attributable to DESFA or</w:t>
      </w:r>
    </w:p>
    <w:p w14:paraId="0737C322" w14:textId="77777777" w:rsidR="00192F18" w:rsidRPr="00B74333" w:rsidRDefault="00192F18">
      <w:pPr>
        <w:widowControl w:val="0"/>
        <w:numPr>
          <w:ilvl w:val="0"/>
          <w:numId w:val="56"/>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implementation of the DESFA Part of the Project becomes no longer economically viable for reasons attributable to the </w:t>
      </w:r>
      <w:proofErr w:type="gramStart"/>
      <w:r w:rsidRPr="00B74333">
        <w:rPr>
          <w:rFonts w:eastAsia="Calibri" w:cstheme="minorHAnsi"/>
          <w:color w:val="000000"/>
          <w:sz w:val="24"/>
          <w:szCs w:val="24"/>
          <w:lang w:bidi="en-US"/>
        </w:rPr>
        <w:t>Company;</w:t>
      </w:r>
      <w:proofErr w:type="gramEnd"/>
    </w:p>
    <w:p w14:paraId="01459F16" w14:textId="7E898ACB" w:rsidR="00192F18" w:rsidRPr="00B74333" w:rsidRDefault="00192F18" w:rsidP="00192F18">
      <w:pPr>
        <w:widowControl w:val="0"/>
        <w:spacing w:after="6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shall be held liable to DESFA and shall be obliged to pay to DESFA all actual costs incurred by DESFA up to that time for the implementation of the </w:t>
      </w:r>
      <w:r w:rsidR="005C0BA3" w:rsidRPr="00B74333">
        <w:rPr>
          <w:rFonts w:eastAsia="Calibri" w:cstheme="minorHAnsi"/>
          <w:color w:val="000000"/>
          <w:sz w:val="24"/>
          <w:szCs w:val="24"/>
          <w:lang w:bidi="en-US"/>
        </w:rPr>
        <w:t xml:space="preserve">DESFA Part of the </w:t>
      </w:r>
      <w:r w:rsidRPr="00B74333">
        <w:rPr>
          <w:rFonts w:eastAsia="Calibri" w:cstheme="minorHAnsi"/>
          <w:color w:val="000000"/>
          <w:sz w:val="24"/>
          <w:szCs w:val="24"/>
          <w:lang w:bidi="en-US"/>
        </w:rPr>
        <w:t xml:space="preserve">Project and the construction of the DESFA Part of the Project as well as any amounts DESFA may be required to pay to third parties as a result of the events mentioned in (a) and (b) above. For </w:t>
      </w:r>
      <w:r w:rsidRPr="00B74333">
        <w:rPr>
          <w:rFonts w:eastAsia="Calibri" w:cstheme="minorHAnsi"/>
          <w:color w:val="000000"/>
          <w:sz w:val="24"/>
          <w:szCs w:val="24"/>
          <w:lang w:bidi="en-US"/>
        </w:rPr>
        <w:lastRenderedPageBreak/>
        <w:t>the avoidance of doubt, DESFA will be fully reimbursed for the actual costs incurred and the amounts that it may be required to pay to third parties, as per above, once.</w:t>
      </w:r>
    </w:p>
    <w:p w14:paraId="66F4B727" w14:textId="77777777" w:rsidR="00192F18" w:rsidRPr="00B74333" w:rsidRDefault="00192F18">
      <w:pPr>
        <w:keepNext/>
        <w:keepLines/>
        <w:widowControl w:val="0"/>
        <w:numPr>
          <w:ilvl w:val="0"/>
          <w:numId w:val="52"/>
        </w:numPr>
        <w:tabs>
          <w:tab w:val="left" w:pos="961"/>
        </w:tabs>
        <w:spacing w:after="80" w:line="257" w:lineRule="auto"/>
        <w:jc w:val="center"/>
        <w:outlineLvl w:val="3"/>
        <w:rPr>
          <w:rFonts w:eastAsia="Calibri" w:cstheme="minorHAnsi"/>
          <w:b/>
          <w:color w:val="000000"/>
          <w:sz w:val="24"/>
          <w:szCs w:val="24"/>
          <w:lang w:bidi="en-US"/>
        </w:rPr>
      </w:pPr>
      <w:bookmarkStart w:id="103" w:name="bookmark42"/>
      <w:r w:rsidRPr="00B74333">
        <w:rPr>
          <w:rFonts w:eastAsia="Calibri" w:cstheme="minorHAnsi"/>
          <w:b/>
          <w:color w:val="000000"/>
          <w:sz w:val="24"/>
          <w:szCs w:val="24"/>
          <w:lang w:bidi="en-US"/>
        </w:rPr>
        <w:t>Succession and Assignment</w:t>
      </w:r>
      <w:bookmarkEnd w:id="103"/>
    </w:p>
    <w:p w14:paraId="55233ACB" w14:textId="77777777" w:rsidR="00192F18" w:rsidRPr="00B74333" w:rsidRDefault="00192F1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Neither DESFA nor the Company may assign this Agreement in whole or part to a third party without the prior written consent of the other Party.</w:t>
      </w:r>
    </w:p>
    <w:p w14:paraId="43936B11" w14:textId="75357613" w:rsidR="00192F18" w:rsidRPr="00B74333" w:rsidRDefault="00192F1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Following a written consent by DESFA, the Company may assign to an GTA Assignee the rights and obligations of the Company in connection with this Agreement, whether in whole or in part, provided that such GTA Assignee fulfills the requirements of the </w:t>
      </w:r>
      <w:r w:rsidR="00F8269F" w:rsidRPr="00B74333">
        <w:rPr>
          <w:rFonts w:eastAsia="Calibri" w:cstheme="minorHAnsi"/>
          <w:color w:val="000000"/>
          <w:sz w:val="24"/>
          <w:szCs w:val="24"/>
          <w:lang w:bidi="en-US"/>
        </w:rPr>
        <w:t xml:space="preserve">NNGS </w:t>
      </w:r>
      <w:r w:rsidRPr="00B74333">
        <w:rPr>
          <w:rFonts w:eastAsia="Calibri" w:cstheme="minorHAnsi"/>
          <w:color w:val="000000"/>
          <w:sz w:val="24"/>
          <w:szCs w:val="24"/>
          <w:lang w:bidi="en-US"/>
        </w:rPr>
        <w:t xml:space="preserve">Network Code, the </w:t>
      </w:r>
      <w:r w:rsidR="00D4147D" w:rsidRPr="00B74333">
        <w:rPr>
          <w:rFonts w:eastAsia="Calibri" w:cstheme="minorHAnsi"/>
          <w:color w:val="000000"/>
          <w:sz w:val="24"/>
          <w:szCs w:val="24"/>
          <w:lang w:bidi="en-US"/>
        </w:rPr>
        <w:t xml:space="preserve">Guidelines, </w:t>
      </w:r>
      <w:r w:rsidRPr="00B74333">
        <w:rPr>
          <w:rFonts w:eastAsia="Calibri" w:cstheme="minorHAnsi"/>
          <w:color w:val="000000"/>
          <w:sz w:val="24"/>
          <w:szCs w:val="24"/>
          <w:lang w:bidi="en-US"/>
        </w:rPr>
        <w:t xml:space="preserve">the Project </w:t>
      </w:r>
      <w:proofErr w:type="gramStart"/>
      <w:r w:rsidRPr="00B74333">
        <w:rPr>
          <w:rFonts w:eastAsia="Calibri" w:cstheme="minorHAnsi"/>
          <w:color w:val="000000"/>
          <w:sz w:val="24"/>
          <w:szCs w:val="24"/>
          <w:lang w:bidi="en-US"/>
        </w:rPr>
        <w:t>Proposal</w:t>
      </w:r>
      <w:proofErr w:type="gramEnd"/>
      <w:r w:rsidRPr="00B74333">
        <w:rPr>
          <w:rFonts w:eastAsia="Calibri" w:cstheme="minorHAnsi"/>
          <w:color w:val="000000"/>
          <w:sz w:val="24"/>
          <w:szCs w:val="24"/>
          <w:lang w:bidi="en-US"/>
        </w:rPr>
        <w:t xml:space="preserve"> and this Agreement at the time of the assignment.</w:t>
      </w:r>
    </w:p>
    <w:p w14:paraId="097F458B" w14:textId="5C91F5FE" w:rsidR="00192F18" w:rsidRPr="00B74333" w:rsidRDefault="00192F18">
      <w:pPr>
        <w:widowControl w:val="0"/>
        <w:numPr>
          <w:ilvl w:val="1"/>
          <w:numId w:val="57"/>
        </w:numPr>
        <w:tabs>
          <w:tab w:val="left" w:pos="724"/>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For the assignment to take place, the GTA Assignee shall provide a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the amount of which shall be equal</w:t>
      </w:r>
      <w:r w:rsidRPr="00B74333">
        <w:rPr>
          <w:rFonts w:cstheme="minorHAnsi"/>
        </w:rPr>
        <w:t xml:space="preserve"> </w:t>
      </w:r>
      <w:r w:rsidR="005D0B91" w:rsidRPr="00B74333">
        <w:rPr>
          <w:rFonts w:eastAsia="Calibri" w:cstheme="minorHAnsi"/>
          <w:color w:val="000000"/>
          <w:sz w:val="24"/>
          <w:szCs w:val="24"/>
          <w:lang w:bidi="en-US"/>
        </w:rPr>
        <w:t xml:space="preserve">in value to the sum of the maximum annual capacity charge (based on the relevant Reference Price including </w:t>
      </w:r>
      <w:r w:rsidR="00B6694C" w:rsidRPr="00B74333">
        <w:rPr>
          <w:rFonts w:eastAsia="Calibri" w:cstheme="minorHAnsi"/>
          <w:color w:val="000000"/>
          <w:sz w:val="24"/>
          <w:szCs w:val="24"/>
          <w:lang w:bidi="en-US"/>
        </w:rPr>
        <w:t>the M</w:t>
      </w:r>
      <w:r w:rsidR="005D0B91" w:rsidRPr="00B74333">
        <w:rPr>
          <w:rFonts w:eastAsia="Calibri" w:cstheme="minorHAnsi"/>
          <w:color w:val="000000"/>
          <w:sz w:val="24"/>
          <w:szCs w:val="24"/>
          <w:lang w:bidi="en-US"/>
        </w:rPr>
        <w:t xml:space="preserve">andatory </w:t>
      </w:r>
      <w:r w:rsidR="00B6694C" w:rsidRPr="00B74333">
        <w:rPr>
          <w:rFonts w:eastAsia="Calibri" w:cstheme="minorHAnsi"/>
          <w:color w:val="000000"/>
          <w:sz w:val="24"/>
          <w:szCs w:val="24"/>
          <w:lang w:bidi="en-US"/>
        </w:rPr>
        <w:t>Minimum P</w:t>
      </w:r>
      <w:r w:rsidR="005D0B91" w:rsidRPr="00B74333">
        <w:rPr>
          <w:rFonts w:eastAsia="Calibri" w:cstheme="minorHAnsi"/>
          <w:color w:val="000000"/>
          <w:sz w:val="24"/>
          <w:szCs w:val="24"/>
          <w:lang w:bidi="en-US"/>
        </w:rPr>
        <w:t xml:space="preserve">remium) </w:t>
      </w:r>
      <w:r w:rsidR="00B607C6" w:rsidRPr="00B74333">
        <w:rPr>
          <w:rFonts w:eastAsia="Calibri" w:cstheme="minorHAnsi"/>
          <w:color w:val="000000"/>
          <w:sz w:val="24"/>
          <w:szCs w:val="24"/>
          <w:lang w:bidi="en-US"/>
        </w:rPr>
        <w:t xml:space="preserve">for the Allocated Capacity </w:t>
      </w:r>
      <w:r w:rsidR="005D0B91" w:rsidRPr="00B74333">
        <w:rPr>
          <w:rFonts w:eastAsia="Calibri" w:cstheme="minorHAnsi"/>
          <w:color w:val="000000"/>
          <w:sz w:val="24"/>
          <w:szCs w:val="24"/>
          <w:lang w:bidi="en-US"/>
        </w:rPr>
        <w:t xml:space="preserve">for each IP and direction (be it entry DESFA or exit DESFA) and for each </w:t>
      </w:r>
      <w:r w:rsidR="00A15674" w:rsidRPr="00B74333">
        <w:rPr>
          <w:rFonts w:eastAsia="Calibri" w:cstheme="minorHAnsi"/>
          <w:color w:val="000000"/>
          <w:sz w:val="24"/>
          <w:szCs w:val="24"/>
          <w:lang w:bidi="en-US"/>
        </w:rPr>
        <w:t xml:space="preserve">of the </w:t>
      </w:r>
      <w:r w:rsidR="005D0B91" w:rsidRPr="00B74333">
        <w:rPr>
          <w:rFonts w:eastAsia="Calibri" w:cstheme="minorHAnsi"/>
          <w:color w:val="000000"/>
          <w:sz w:val="24"/>
          <w:szCs w:val="24"/>
          <w:lang w:bidi="en-US"/>
        </w:rPr>
        <w:t>Entry Point</w:t>
      </w:r>
      <w:r w:rsidR="00A15674" w:rsidRPr="00B74333">
        <w:rPr>
          <w:rFonts w:eastAsia="Calibri" w:cstheme="minorHAnsi"/>
          <w:color w:val="000000"/>
          <w:sz w:val="24"/>
          <w:szCs w:val="24"/>
          <w:lang w:bidi="en-US"/>
        </w:rPr>
        <w:t>s</w:t>
      </w:r>
      <w:r w:rsidR="00F46474" w:rsidRPr="00B74333">
        <w:rPr>
          <w:rFonts w:eastAsia="Calibri" w:cstheme="minorHAnsi"/>
          <w:color w:val="000000"/>
          <w:sz w:val="24"/>
          <w:szCs w:val="24"/>
          <w:lang w:bidi="en-US"/>
        </w:rPr>
        <w:t xml:space="preserve"> to be assigned</w:t>
      </w:r>
      <w:r w:rsidR="005D0B91"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t xml:space="preserve">and for the duration provided for in Article 3.2.(a). Until the required </w:t>
      </w:r>
      <w:r w:rsidR="00AB60AE" w:rsidRPr="00B74333">
        <w:rPr>
          <w:rFonts w:eastAsia="Calibri" w:cstheme="minorHAnsi"/>
          <w:color w:val="000000"/>
          <w:sz w:val="24"/>
          <w:szCs w:val="24"/>
          <w:lang w:bidi="en-US"/>
        </w:rPr>
        <w:t>GTA Guarantee</w:t>
      </w:r>
      <w:r w:rsidRPr="00B74333">
        <w:rPr>
          <w:rFonts w:eastAsia="Calibri" w:cstheme="minorHAnsi"/>
          <w:color w:val="000000"/>
          <w:sz w:val="24"/>
          <w:szCs w:val="24"/>
          <w:lang w:bidi="en-US"/>
        </w:rPr>
        <w:t xml:space="preserve"> </w:t>
      </w:r>
      <w:r w:rsidR="00121AE0" w:rsidRPr="00B74333">
        <w:rPr>
          <w:rFonts w:eastAsia="Calibri" w:cstheme="minorHAnsi"/>
          <w:color w:val="000000"/>
          <w:sz w:val="24"/>
          <w:szCs w:val="24"/>
          <w:lang w:bidi="en-US"/>
        </w:rPr>
        <w:t>has</w:t>
      </w:r>
      <w:r w:rsidRPr="00B74333">
        <w:rPr>
          <w:rFonts w:eastAsia="Calibri" w:cstheme="minorHAnsi"/>
          <w:color w:val="000000"/>
          <w:sz w:val="24"/>
          <w:szCs w:val="24"/>
          <w:lang w:bidi="en-US"/>
        </w:rPr>
        <w:t xml:space="preserve"> been presented to DESFA by the GTA Assignee the assignment shall have no legal effect.</w:t>
      </w:r>
    </w:p>
    <w:p w14:paraId="729B9B38" w14:textId="77777777" w:rsidR="00192F18" w:rsidRPr="00B74333" w:rsidRDefault="00192F1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Failure to provide consent to a request for assignment shall entail rejection of the assignment and does not give rise to a right for either Party to terminate this Agreement or claim for any loss, damage, </w:t>
      </w:r>
      <w:proofErr w:type="gramStart"/>
      <w:r w:rsidRPr="00B74333">
        <w:rPr>
          <w:rFonts w:eastAsia="Calibri" w:cstheme="minorHAnsi"/>
          <w:color w:val="000000"/>
          <w:sz w:val="24"/>
          <w:szCs w:val="24"/>
          <w:lang w:bidi="en-US"/>
        </w:rPr>
        <w:t>cost</w:t>
      </w:r>
      <w:proofErr w:type="gramEnd"/>
      <w:r w:rsidRPr="00B74333">
        <w:rPr>
          <w:rFonts w:eastAsia="Calibri" w:cstheme="minorHAnsi"/>
          <w:color w:val="000000"/>
          <w:sz w:val="24"/>
          <w:szCs w:val="24"/>
          <w:lang w:bidi="en-US"/>
        </w:rPr>
        <w:t xml:space="preserve"> or expense whatsoever.</w:t>
      </w:r>
    </w:p>
    <w:p w14:paraId="569E963F" w14:textId="77777777" w:rsidR="00192F18" w:rsidRPr="00B74333" w:rsidRDefault="00192F18">
      <w:pPr>
        <w:widowControl w:val="0"/>
        <w:numPr>
          <w:ilvl w:val="1"/>
          <w:numId w:val="57"/>
        </w:numPr>
        <w:tabs>
          <w:tab w:val="left" w:pos="72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This Agreement shall inure to the benefit of and be binding upon the respective successors and permitted assigned of the Parties.</w:t>
      </w:r>
    </w:p>
    <w:p w14:paraId="34D444D6" w14:textId="77777777" w:rsidR="00917636" w:rsidRPr="00B74333" w:rsidRDefault="00917636" w:rsidP="00917636">
      <w:pPr>
        <w:widowControl w:val="0"/>
        <w:tabs>
          <w:tab w:val="left" w:pos="724"/>
        </w:tabs>
        <w:spacing w:after="140" w:line="257" w:lineRule="auto"/>
        <w:jc w:val="both"/>
        <w:rPr>
          <w:rFonts w:eastAsia="Calibri" w:cstheme="minorHAnsi"/>
          <w:color w:val="000000"/>
          <w:sz w:val="24"/>
          <w:szCs w:val="24"/>
          <w:lang w:bidi="en-US"/>
        </w:rPr>
      </w:pPr>
    </w:p>
    <w:p w14:paraId="1CF6E61A" w14:textId="77777777" w:rsidR="00192F18" w:rsidRPr="00B74333" w:rsidRDefault="00192F18">
      <w:pPr>
        <w:keepNext/>
        <w:keepLines/>
        <w:widowControl w:val="0"/>
        <w:numPr>
          <w:ilvl w:val="0"/>
          <w:numId w:val="52"/>
        </w:numPr>
        <w:tabs>
          <w:tab w:val="left" w:pos="1006"/>
        </w:tabs>
        <w:spacing w:after="140" w:line="240" w:lineRule="auto"/>
        <w:jc w:val="center"/>
        <w:outlineLvl w:val="3"/>
        <w:rPr>
          <w:rFonts w:eastAsia="Calibri" w:cstheme="minorHAnsi"/>
          <w:b/>
          <w:color w:val="000000"/>
          <w:sz w:val="24"/>
          <w:szCs w:val="24"/>
          <w:lang w:bidi="en-US"/>
        </w:rPr>
      </w:pPr>
      <w:bookmarkStart w:id="104" w:name="bookmark44"/>
      <w:r w:rsidRPr="00B74333">
        <w:rPr>
          <w:rFonts w:eastAsia="Calibri" w:cstheme="minorHAnsi"/>
          <w:b/>
          <w:color w:val="000000"/>
          <w:sz w:val="24"/>
          <w:szCs w:val="24"/>
          <w:lang w:bidi="en-US"/>
        </w:rPr>
        <w:t>Force Majeure</w:t>
      </w:r>
      <w:bookmarkEnd w:id="104"/>
    </w:p>
    <w:p w14:paraId="46E6268C" w14:textId="77777777" w:rsidR="00192F18" w:rsidRPr="00B74333" w:rsidRDefault="00192F18">
      <w:pPr>
        <w:widowControl w:val="0"/>
        <w:numPr>
          <w:ilvl w:val="1"/>
          <w:numId w:val="58"/>
        </w:numPr>
        <w:tabs>
          <w:tab w:val="left" w:pos="732"/>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An event of Force Majeure means any event or circumstance (or any combination of events and/or circumstances) outside the reasonable control, directly or indirectly, of the Party affected, but only if and to the extent that:</w:t>
      </w:r>
    </w:p>
    <w:p w14:paraId="06619E0F" w14:textId="77777777" w:rsidR="00192F18" w:rsidRPr="00B74333" w:rsidRDefault="00192F18">
      <w:pPr>
        <w:widowControl w:val="0"/>
        <w:numPr>
          <w:ilvl w:val="0"/>
          <w:numId w:val="59"/>
        </w:numPr>
        <w:tabs>
          <w:tab w:val="left" w:pos="732"/>
        </w:tabs>
        <w:spacing w:after="140" w:line="252"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such event(s) and/or circumstance(s) could not be prevented, avoided or removed by such </w:t>
      </w:r>
      <w:proofErr w:type="gramStart"/>
      <w:r w:rsidRPr="00B74333">
        <w:rPr>
          <w:rFonts w:eastAsia="Calibri" w:cstheme="minorHAnsi"/>
          <w:color w:val="000000"/>
          <w:sz w:val="24"/>
          <w:szCs w:val="24"/>
          <w:lang w:bidi="en-US"/>
        </w:rPr>
        <w:t>Party;</w:t>
      </w:r>
      <w:proofErr w:type="gramEnd"/>
    </w:p>
    <w:p w14:paraId="69F946B7" w14:textId="77777777" w:rsidR="00192F18" w:rsidRPr="00B74333" w:rsidRDefault="00192F18">
      <w:pPr>
        <w:widowControl w:val="0"/>
        <w:numPr>
          <w:ilvl w:val="0"/>
          <w:numId w:val="59"/>
        </w:numPr>
        <w:tabs>
          <w:tab w:val="left" w:pos="732"/>
        </w:tabs>
        <w:spacing w:after="140" w:line="252" w:lineRule="auto"/>
        <w:jc w:val="both"/>
        <w:rPr>
          <w:rFonts w:eastAsia="Calibri" w:cstheme="minorHAnsi"/>
          <w:color w:val="000000"/>
          <w:sz w:val="24"/>
          <w:szCs w:val="24"/>
          <w:lang w:bidi="en-US"/>
        </w:rPr>
      </w:pPr>
      <w:r w:rsidRPr="00B74333">
        <w:rPr>
          <w:rFonts w:eastAsia="Calibri" w:cstheme="minorHAnsi"/>
          <w:color w:val="000000"/>
          <w:sz w:val="24"/>
          <w:szCs w:val="24"/>
          <w:lang w:bidi="en-US"/>
        </w:rPr>
        <w:t>such event(s) and/or circumstance(s) causes or results in a failure by such Party to perform its obligations under this Agreement; and</w:t>
      </w:r>
    </w:p>
    <w:p w14:paraId="1B1ACD33" w14:textId="77777777" w:rsidR="00192F18" w:rsidRPr="00B74333" w:rsidRDefault="00192F18">
      <w:pPr>
        <w:widowControl w:val="0"/>
        <w:numPr>
          <w:ilvl w:val="0"/>
          <w:numId w:val="59"/>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such event(s) and/or circumstance(s) are not substantially attributable to the other Party.</w:t>
      </w:r>
    </w:p>
    <w:p w14:paraId="6E3ED486" w14:textId="77777777" w:rsidR="00192F18" w:rsidRPr="00B74333" w:rsidRDefault="00192F18">
      <w:pPr>
        <w:widowControl w:val="0"/>
        <w:numPr>
          <w:ilvl w:val="1"/>
          <w:numId w:val="58"/>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Force Majeure may include, but is not limited to, event(s) or circumstance(s) of the </w:t>
      </w:r>
      <w:r w:rsidRPr="00B74333">
        <w:rPr>
          <w:rFonts w:eastAsia="Calibri" w:cstheme="minorHAnsi"/>
          <w:color w:val="000000"/>
          <w:sz w:val="24"/>
          <w:szCs w:val="24"/>
          <w:lang w:bidi="en-US"/>
        </w:rPr>
        <w:lastRenderedPageBreak/>
        <w:t>kind listed below, so long as conditions (a) to (c) above are satisfied:</w:t>
      </w:r>
    </w:p>
    <w:p w14:paraId="7B6BFEF4" w14:textId="77777777" w:rsidR="00192F18" w:rsidRPr="00B74333" w:rsidRDefault="00192F18">
      <w:pPr>
        <w:widowControl w:val="0"/>
        <w:numPr>
          <w:ilvl w:val="0"/>
          <w:numId w:val="60"/>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war, hostilities (whether war be declared or not), invasion, act for foreign </w:t>
      </w:r>
      <w:proofErr w:type="gramStart"/>
      <w:r w:rsidRPr="00B74333">
        <w:rPr>
          <w:rFonts w:eastAsia="Calibri" w:cstheme="minorHAnsi"/>
          <w:color w:val="000000"/>
          <w:sz w:val="24"/>
          <w:szCs w:val="24"/>
          <w:lang w:bidi="en-US"/>
        </w:rPr>
        <w:t>enemies;</w:t>
      </w:r>
      <w:proofErr w:type="gramEnd"/>
    </w:p>
    <w:p w14:paraId="7920D498" w14:textId="77777777" w:rsidR="00192F18" w:rsidRPr="00B74333" w:rsidRDefault="00192F18">
      <w:pPr>
        <w:widowControl w:val="0"/>
        <w:numPr>
          <w:ilvl w:val="0"/>
          <w:numId w:val="60"/>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rebellion, acts of terrorism, revolution, insurrection, military or usurped power, or civil </w:t>
      </w:r>
      <w:proofErr w:type="gramStart"/>
      <w:r w:rsidRPr="00B74333">
        <w:rPr>
          <w:rFonts w:eastAsia="Calibri" w:cstheme="minorHAnsi"/>
          <w:color w:val="000000"/>
          <w:sz w:val="24"/>
          <w:szCs w:val="24"/>
          <w:lang w:bidi="en-US"/>
        </w:rPr>
        <w:t>war;</w:t>
      </w:r>
      <w:proofErr w:type="gramEnd"/>
    </w:p>
    <w:p w14:paraId="7B88B218" w14:textId="77777777" w:rsidR="00192F18" w:rsidRPr="00B74333" w:rsidRDefault="00192F18">
      <w:pPr>
        <w:widowControl w:val="0"/>
        <w:numPr>
          <w:ilvl w:val="0"/>
          <w:numId w:val="60"/>
        </w:numPr>
        <w:tabs>
          <w:tab w:val="left" w:pos="732"/>
        </w:tabs>
        <w:spacing w:after="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natural catastrophes such as an earthquake, a hurricane, a typhoon or volcanic</w:t>
      </w:r>
    </w:p>
    <w:p w14:paraId="46252BB1" w14:textId="77777777" w:rsidR="00192F18" w:rsidRPr="00B74333" w:rsidRDefault="00192F18" w:rsidP="00192F18">
      <w:pPr>
        <w:widowControl w:val="0"/>
        <w:spacing w:after="140" w:line="257" w:lineRule="auto"/>
        <w:jc w:val="both"/>
        <w:rPr>
          <w:rFonts w:eastAsia="Calibri" w:cstheme="minorHAnsi"/>
          <w:color w:val="000000"/>
          <w:sz w:val="24"/>
          <w:szCs w:val="24"/>
          <w:lang w:bidi="en-US"/>
        </w:rPr>
      </w:pPr>
      <w:proofErr w:type="gramStart"/>
      <w:r w:rsidRPr="00B74333">
        <w:rPr>
          <w:rFonts w:eastAsia="Calibri" w:cstheme="minorHAnsi"/>
          <w:color w:val="000000"/>
          <w:sz w:val="24"/>
          <w:szCs w:val="24"/>
          <w:lang w:bidi="en-US"/>
        </w:rPr>
        <w:t>activity;</w:t>
      </w:r>
      <w:proofErr w:type="gramEnd"/>
    </w:p>
    <w:p w14:paraId="1B0A1193" w14:textId="77777777" w:rsidR="00192F18" w:rsidRPr="00B74333" w:rsidRDefault="00192F18">
      <w:pPr>
        <w:widowControl w:val="0"/>
        <w:numPr>
          <w:ilvl w:val="0"/>
          <w:numId w:val="60"/>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governmental measures and other rules issued by Competent Authority in relation to pandemics or epidemics.</w:t>
      </w:r>
    </w:p>
    <w:p w14:paraId="6C50F9EF" w14:textId="77777777" w:rsidR="00192F18" w:rsidRPr="00B74333" w:rsidRDefault="00192F18">
      <w:pPr>
        <w:widowControl w:val="0"/>
        <w:numPr>
          <w:ilvl w:val="1"/>
          <w:numId w:val="58"/>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Company further acknowledge that event(s) or circumstance(s) of Force Majeure for DESFA may include, so long as conditions (a) to (c) of Article 7.1 are satisfied:</w:t>
      </w:r>
    </w:p>
    <w:p w14:paraId="7991353D" w14:textId="006ADE4D" w:rsidR="00192F18" w:rsidRPr="00B74333" w:rsidRDefault="00192F18">
      <w:pPr>
        <w:widowControl w:val="0"/>
        <w:numPr>
          <w:ilvl w:val="0"/>
          <w:numId w:val="61"/>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breakage, fire, freezing, explosion, mechanical breakdown, or other damage or malfunction of machinery or equipment necessary for the construction and operation of the DESFA Part of</w:t>
      </w:r>
      <w:r w:rsidR="00D85CEE" w:rsidRPr="00B74333">
        <w:rPr>
          <w:rFonts w:eastAsia="Calibri" w:cstheme="minorHAnsi"/>
          <w:color w:val="000000"/>
          <w:sz w:val="24"/>
          <w:szCs w:val="24"/>
          <w:lang w:bidi="en-US"/>
        </w:rPr>
        <w:t xml:space="preserve"> the</w:t>
      </w:r>
      <w:r w:rsidRPr="00B74333">
        <w:rPr>
          <w:rFonts w:eastAsia="Calibri" w:cstheme="minorHAnsi"/>
          <w:color w:val="000000"/>
          <w:sz w:val="24"/>
          <w:szCs w:val="24"/>
          <w:lang w:bidi="en-US"/>
        </w:rPr>
        <w:t xml:space="preserve"> Project; or</w:t>
      </w:r>
    </w:p>
    <w:p w14:paraId="52B46942" w14:textId="77777777" w:rsidR="00192F18" w:rsidRPr="00B74333" w:rsidRDefault="00192F18">
      <w:pPr>
        <w:widowControl w:val="0"/>
        <w:numPr>
          <w:ilvl w:val="0"/>
          <w:numId w:val="61"/>
        </w:numPr>
        <w:tabs>
          <w:tab w:val="left" w:pos="732"/>
        </w:tabs>
        <w:spacing w:after="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archaeological or historical or cultural heritage investigations or discoveries on</w:t>
      </w:r>
    </w:p>
    <w:p w14:paraId="6E36EBCE" w14:textId="34CA520E" w:rsidR="00192F18" w:rsidRPr="00B74333" w:rsidRDefault="00192F18" w:rsidP="00192F18">
      <w:pPr>
        <w:widowControl w:val="0"/>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route of the DESFA Part of</w:t>
      </w:r>
      <w:r w:rsidR="00D85CEE" w:rsidRPr="00B74333">
        <w:rPr>
          <w:rFonts w:eastAsia="Calibri" w:cstheme="minorHAnsi"/>
          <w:color w:val="000000"/>
          <w:sz w:val="24"/>
          <w:szCs w:val="24"/>
          <w:lang w:bidi="en-US"/>
        </w:rPr>
        <w:t xml:space="preserve"> the</w:t>
      </w:r>
      <w:r w:rsidRPr="00B74333">
        <w:rPr>
          <w:rFonts w:eastAsia="Calibri" w:cstheme="minorHAnsi"/>
          <w:color w:val="000000"/>
          <w:sz w:val="24"/>
          <w:szCs w:val="24"/>
          <w:lang w:bidi="en-US"/>
        </w:rPr>
        <w:t xml:space="preserve"> Project; or</w:t>
      </w:r>
    </w:p>
    <w:p w14:paraId="4C012E14" w14:textId="77777777" w:rsidR="00192F18" w:rsidRPr="00B74333" w:rsidRDefault="00192F18">
      <w:pPr>
        <w:widowControl w:val="0"/>
        <w:numPr>
          <w:ilvl w:val="0"/>
          <w:numId w:val="61"/>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court proceedings that delay the award of a contract for the construction of DESFA Part of the Project; or</w:t>
      </w:r>
    </w:p>
    <w:p w14:paraId="64519300" w14:textId="77777777" w:rsidR="00192F18" w:rsidRPr="00B74333" w:rsidRDefault="00192F18">
      <w:pPr>
        <w:widowControl w:val="0"/>
        <w:numPr>
          <w:ilvl w:val="0"/>
          <w:numId w:val="61"/>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delay due to bankruptcy or other major default of a contractor selected by DESFA for the construction of the DESFA Part of the Project.</w:t>
      </w:r>
    </w:p>
    <w:p w14:paraId="288149C2" w14:textId="77777777" w:rsidR="00192F18" w:rsidRPr="00B74333" w:rsidRDefault="00192F18">
      <w:pPr>
        <w:widowControl w:val="0"/>
        <w:numPr>
          <w:ilvl w:val="1"/>
          <w:numId w:val="58"/>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Notwithstanding the provisions above, any or </w:t>
      </w:r>
      <w:proofErr w:type="gramStart"/>
      <w:r w:rsidRPr="00B74333">
        <w:rPr>
          <w:rFonts w:eastAsia="Calibri" w:cstheme="minorHAnsi"/>
          <w:color w:val="000000"/>
          <w:sz w:val="24"/>
          <w:szCs w:val="24"/>
          <w:lang w:bidi="en-US"/>
        </w:rPr>
        <w:t>all of</w:t>
      </w:r>
      <w:proofErr w:type="gramEnd"/>
      <w:r w:rsidRPr="00B74333">
        <w:rPr>
          <w:rFonts w:eastAsia="Calibri" w:cstheme="minorHAnsi"/>
          <w:color w:val="000000"/>
          <w:sz w:val="24"/>
          <w:szCs w:val="24"/>
          <w:lang w:bidi="en-US"/>
        </w:rPr>
        <w:t xml:space="preserve"> the following events and circumstances shall not constitute an event of Force Majeure:</w:t>
      </w:r>
    </w:p>
    <w:p w14:paraId="02F75A64" w14:textId="77777777" w:rsidR="00192F18" w:rsidRPr="00B74333" w:rsidRDefault="00192F18">
      <w:pPr>
        <w:widowControl w:val="0"/>
        <w:numPr>
          <w:ilvl w:val="0"/>
          <w:numId w:val="62"/>
        </w:numPr>
        <w:tabs>
          <w:tab w:val="left" w:pos="732"/>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changes in market conditions, including changes that directly or indirectly affect the demand for or price of Natural Gas, such as loss of customers or loss of market share; or</w:t>
      </w:r>
    </w:p>
    <w:p w14:paraId="665369AB" w14:textId="77777777" w:rsidR="00192F18" w:rsidRPr="00B74333" w:rsidRDefault="00192F18">
      <w:pPr>
        <w:widowControl w:val="0"/>
        <w:numPr>
          <w:ilvl w:val="0"/>
          <w:numId w:val="62"/>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changes in shareholding or business strategy; or</w:t>
      </w:r>
    </w:p>
    <w:p w14:paraId="2909BFEF" w14:textId="77777777" w:rsidR="00192F18" w:rsidRPr="00B74333" w:rsidRDefault="00192F18">
      <w:pPr>
        <w:widowControl w:val="0"/>
        <w:numPr>
          <w:ilvl w:val="0"/>
          <w:numId w:val="62"/>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failure or inability to perform due to change to applicable Capacity charges; or</w:t>
      </w:r>
    </w:p>
    <w:p w14:paraId="7614F323" w14:textId="77777777" w:rsidR="00192F18" w:rsidRPr="00B74333" w:rsidRDefault="00192F18">
      <w:pPr>
        <w:widowControl w:val="0"/>
        <w:numPr>
          <w:ilvl w:val="0"/>
          <w:numId w:val="62"/>
        </w:numPr>
        <w:tabs>
          <w:tab w:val="left" w:pos="709"/>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unavailability or lack of funds or failure to indemnify the other party or to</w:t>
      </w:r>
    </w:p>
    <w:p w14:paraId="1CC07237"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pay money when due.</w:t>
      </w:r>
    </w:p>
    <w:p w14:paraId="1DEA5C0F" w14:textId="77777777" w:rsidR="00192F18" w:rsidRPr="00B74333" w:rsidRDefault="00192F18">
      <w:pPr>
        <w:widowControl w:val="0"/>
        <w:numPr>
          <w:ilvl w:val="1"/>
          <w:numId w:val="58"/>
        </w:numPr>
        <w:tabs>
          <w:tab w:val="left" w:pos="709"/>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If a Party is or will be prevented from performing any of its obligations under this Agreement by Force Majeure, then it shall give Notice to the other Party of the event(s) of circumstance(s) constituting the Force Majeure and shall specify the extent of the obligations, the performance of which is or will be prevented, impeded and/or delayed. The Notice shall be given as soon as reasonably practicable (to the extent that such Information is available to the affected Party) of the relevant event(s) or circumstance(s) constituting Force Majeure, otherwise the affected Party is prevented from claiming Force Majeure in respect to the </w:t>
      </w:r>
      <w:r w:rsidRPr="00B74333">
        <w:rPr>
          <w:rFonts w:eastAsia="Calibri" w:cstheme="minorHAnsi"/>
          <w:color w:val="000000"/>
          <w:sz w:val="24"/>
          <w:szCs w:val="24"/>
          <w:lang w:bidi="en-US"/>
        </w:rPr>
        <w:lastRenderedPageBreak/>
        <w:t>respective event(s) or circumstance(s), unless the other Party is aware of the Force Majeure and the extent of its effects on the affected Party's performance. The Party shall, having given Notice, be excused from performance of such obligations for so long as such Force Majeure prevents it from performing them.</w:t>
      </w:r>
    </w:p>
    <w:p w14:paraId="42DA6824" w14:textId="77777777" w:rsidR="00192F18" w:rsidRPr="00B74333" w:rsidRDefault="00192F18">
      <w:pPr>
        <w:widowControl w:val="0"/>
        <w:numPr>
          <w:ilvl w:val="1"/>
          <w:numId w:val="58"/>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Notwithstanding the above, the affected Party shall give Notice as soon as reasonably practicable to the other Party (to the extent that such Information is available to the affected Party) of:</w:t>
      </w:r>
    </w:p>
    <w:p w14:paraId="4FDA0BDD" w14:textId="77777777" w:rsidR="00192F18" w:rsidRPr="00B74333" w:rsidRDefault="00192F18">
      <w:pPr>
        <w:widowControl w:val="0"/>
        <w:numPr>
          <w:ilvl w:val="0"/>
          <w:numId w:val="63"/>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steps being taken by the affected Party to remove or mitigate the effect of the Force Majeure and to carry out its obligations under this </w:t>
      </w:r>
      <w:proofErr w:type="gramStart"/>
      <w:r w:rsidRPr="00B74333">
        <w:rPr>
          <w:rFonts w:eastAsia="Calibri" w:cstheme="minorHAnsi"/>
          <w:color w:val="000000"/>
          <w:sz w:val="24"/>
          <w:szCs w:val="24"/>
          <w:lang w:bidi="en-US"/>
        </w:rPr>
        <w:t>Agreement;</w:t>
      </w:r>
      <w:proofErr w:type="gramEnd"/>
    </w:p>
    <w:p w14:paraId="7B05EE81" w14:textId="77777777" w:rsidR="00192F18" w:rsidRPr="00B74333" w:rsidRDefault="00192F18">
      <w:pPr>
        <w:widowControl w:val="0"/>
        <w:numPr>
          <w:ilvl w:val="0"/>
          <w:numId w:val="63"/>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upon it becoming aware of any material developments or additional material Information relating to the Force Majeure and its </w:t>
      </w:r>
      <w:proofErr w:type="gramStart"/>
      <w:r w:rsidRPr="00B74333">
        <w:rPr>
          <w:rFonts w:eastAsia="Calibri" w:cstheme="minorHAnsi"/>
          <w:color w:val="000000"/>
          <w:sz w:val="24"/>
          <w:szCs w:val="24"/>
          <w:lang w:bidi="en-US"/>
        </w:rPr>
        <w:t>effects;</w:t>
      </w:r>
      <w:proofErr w:type="gramEnd"/>
    </w:p>
    <w:p w14:paraId="2D9BC72C" w14:textId="77777777" w:rsidR="00192F18" w:rsidRPr="00B74333" w:rsidRDefault="00192F18">
      <w:pPr>
        <w:widowControl w:val="0"/>
        <w:numPr>
          <w:ilvl w:val="0"/>
          <w:numId w:val="63"/>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anticipated date of resumption of performance of its obligations under this </w:t>
      </w:r>
      <w:proofErr w:type="gramStart"/>
      <w:r w:rsidRPr="00B74333">
        <w:rPr>
          <w:rFonts w:eastAsia="Calibri" w:cstheme="minorHAnsi"/>
          <w:color w:val="000000"/>
          <w:sz w:val="24"/>
          <w:szCs w:val="24"/>
          <w:lang w:bidi="en-US"/>
        </w:rPr>
        <w:t>Agreement;</w:t>
      </w:r>
      <w:proofErr w:type="gramEnd"/>
    </w:p>
    <w:p w14:paraId="4C34A3A6" w14:textId="77777777" w:rsidR="00192F18" w:rsidRPr="00B74333" w:rsidRDefault="00192F18" w:rsidP="00192F18">
      <w:pPr>
        <w:widowControl w:val="0"/>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and, to the extent that such Information is not available at the time a Notice is given, the affected Party shall provide such Information to the other Party as soon as it becomes available to it.</w:t>
      </w:r>
    </w:p>
    <w:p w14:paraId="1A76E7C8" w14:textId="77777777" w:rsidR="00192F18" w:rsidRPr="00B74333" w:rsidRDefault="00192F18">
      <w:pPr>
        <w:widowControl w:val="0"/>
        <w:numPr>
          <w:ilvl w:val="1"/>
          <w:numId w:val="58"/>
        </w:numPr>
        <w:tabs>
          <w:tab w:val="left" w:pos="709"/>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Neither Party shall be held responsible for any non-performance and/or delay in the performance of the Agreement if and to the extent it is caused by Force Majeure.</w:t>
      </w:r>
    </w:p>
    <w:p w14:paraId="5EA69A47" w14:textId="7D9E94D7" w:rsidR="00192F18" w:rsidRPr="00B74333" w:rsidRDefault="00192F18">
      <w:pPr>
        <w:widowControl w:val="0"/>
        <w:numPr>
          <w:ilvl w:val="1"/>
          <w:numId w:val="58"/>
        </w:numPr>
        <w:tabs>
          <w:tab w:val="left" w:pos="709"/>
        </w:tabs>
        <w:spacing w:after="62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DESFA is entitled to assign the execution of DESFA Part of the Project, in whole or in part, to external contractors, providers or vendors of its choice and at its sole discretion. An event of Force Majeure in the person of the contractor, </w:t>
      </w:r>
      <w:proofErr w:type="gramStart"/>
      <w:r w:rsidRPr="00B74333">
        <w:rPr>
          <w:rFonts w:eastAsia="Calibri" w:cstheme="minorHAnsi"/>
          <w:color w:val="000000"/>
          <w:sz w:val="24"/>
          <w:szCs w:val="24"/>
          <w:lang w:bidi="en-US"/>
        </w:rPr>
        <w:t>provider</w:t>
      </w:r>
      <w:proofErr w:type="gramEnd"/>
      <w:r w:rsidRPr="00B74333">
        <w:rPr>
          <w:rFonts w:eastAsia="Calibri" w:cstheme="minorHAnsi"/>
          <w:color w:val="000000"/>
          <w:sz w:val="24"/>
          <w:szCs w:val="24"/>
          <w:lang w:bidi="en-US"/>
        </w:rPr>
        <w:t xml:space="preserve"> or vendor to whom DESFA has assigned the execution, in whole or in part, of said project shall constitute an event of Force Majeure in the person of DESFA against the Company under this Agreement.</w:t>
      </w:r>
    </w:p>
    <w:p w14:paraId="38797F98" w14:textId="77777777" w:rsidR="00192F18" w:rsidRPr="00B74333" w:rsidRDefault="00192F18">
      <w:pPr>
        <w:keepNext/>
        <w:keepLines/>
        <w:widowControl w:val="0"/>
        <w:numPr>
          <w:ilvl w:val="0"/>
          <w:numId w:val="52"/>
        </w:numPr>
        <w:tabs>
          <w:tab w:val="left" w:pos="956"/>
        </w:tabs>
        <w:spacing w:after="140" w:line="240" w:lineRule="auto"/>
        <w:jc w:val="center"/>
        <w:outlineLvl w:val="3"/>
        <w:rPr>
          <w:rFonts w:eastAsia="Calibri" w:cstheme="minorHAnsi"/>
          <w:b/>
          <w:color w:val="000000"/>
          <w:sz w:val="24"/>
          <w:szCs w:val="24"/>
          <w:lang w:bidi="en-US"/>
        </w:rPr>
      </w:pPr>
      <w:bookmarkStart w:id="105" w:name="bookmark46"/>
      <w:r w:rsidRPr="00B74333">
        <w:rPr>
          <w:rFonts w:eastAsia="Calibri" w:cstheme="minorHAnsi"/>
          <w:b/>
          <w:color w:val="000000"/>
          <w:sz w:val="24"/>
          <w:szCs w:val="24"/>
          <w:lang w:bidi="en-US"/>
        </w:rPr>
        <w:t>Confidentiality</w:t>
      </w:r>
      <w:bookmarkEnd w:id="105"/>
    </w:p>
    <w:p w14:paraId="2820AFFB" w14:textId="77777777" w:rsidR="00192F18" w:rsidRPr="00B74333" w:rsidRDefault="00192F18">
      <w:pPr>
        <w:widowControl w:val="0"/>
        <w:numPr>
          <w:ilvl w:val="1"/>
          <w:numId w:val="64"/>
        </w:numPr>
        <w:tabs>
          <w:tab w:val="left" w:pos="709"/>
        </w:tabs>
        <w:spacing w:after="140" w:line="240"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Parties already acknowledge and are bound by the confidential nature:</w:t>
      </w:r>
    </w:p>
    <w:p w14:paraId="090BE7C9" w14:textId="77777777" w:rsidR="00192F18" w:rsidRPr="00B74333" w:rsidRDefault="00192F18">
      <w:pPr>
        <w:widowControl w:val="0"/>
        <w:numPr>
          <w:ilvl w:val="0"/>
          <w:numId w:val="65"/>
        </w:numPr>
        <w:tabs>
          <w:tab w:val="left" w:pos="71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of all the information exchanged and/or the documents and data communicated or to be communicated to them during the term of the Agreement, and which are related to the Agreement and its performance; and</w:t>
      </w:r>
    </w:p>
    <w:p w14:paraId="28C7B4F5" w14:textId="77777777" w:rsidR="00192F18" w:rsidRPr="00B74333" w:rsidRDefault="00192F18">
      <w:pPr>
        <w:widowControl w:val="0"/>
        <w:numPr>
          <w:ilvl w:val="0"/>
          <w:numId w:val="65"/>
        </w:numPr>
        <w:tabs>
          <w:tab w:val="left" w:pos="71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they undertake the duty to use such information, </w:t>
      </w:r>
      <w:proofErr w:type="gramStart"/>
      <w:r w:rsidRPr="00B74333">
        <w:rPr>
          <w:rFonts w:eastAsia="Calibri" w:cstheme="minorHAnsi"/>
          <w:color w:val="000000"/>
          <w:sz w:val="24"/>
          <w:szCs w:val="24"/>
          <w:lang w:bidi="en-US"/>
        </w:rPr>
        <w:t>documents</w:t>
      </w:r>
      <w:proofErr w:type="gramEnd"/>
      <w:r w:rsidRPr="00B74333">
        <w:rPr>
          <w:rFonts w:eastAsia="Calibri" w:cstheme="minorHAnsi"/>
          <w:color w:val="000000"/>
          <w:sz w:val="24"/>
          <w:szCs w:val="24"/>
          <w:lang w:bidi="en-US"/>
        </w:rPr>
        <w:t xml:space="preserve"> and data only for the purposes of the Agreement and to refrain from disclosing them in part or in whole to third parties.</w:t>
      </w:r>
    </w:p>
    <w:p w14:paraId="1075D18E" w14:textId="77777777" w:rsidR="00192F18" w:rsidRPr="00B74333" w:rsidRDefault="00192F18">
      <w:pPr>
        <w:widowControl w:val="0"/>
        <w:numPr>
          <w:ilvl w:val="1"/>
          <w:numId w:val="64"/>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confidentiality undertakings under this Agreement do not apply to the extent that:</w:t>
      </w:r>
    </w:p>
    <w:p w14:paraId="12F4F10E" w14:textId="77777777" w:rsidR="00192F18" w:rsidRPr="00B74333" w:rsidRDefault="00192F18">
      <w:pPr>
        <w:widowControl w:val="0"/>
        <w:numPr>
          <w:ilvl w:val="0"/>
          <w:numId w:val="66"/>
        </w:numPr>
        <w:tabs>
          <w:tab w:val="left" w:pos="71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Confidential Information is already in possession of the public or becomes available to the public other than through the act or omission of the receiving Party in breach hereof; or</w:t>
      </w:r>
    </w:p>
    <w:p w14:paraId="59D06FF7" w14:textId="77777777" w:rsidR="00192F18" w:rsidRPr="00B74333" w:rsidRDefault="00192F1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lastRenderedPageBreak/>
        <w:t>a Party can document that it was already legally and without other confidentiality limitations in possession of the Confidential Information before it was disclosed; or</w:t>
      </w:r>
    </w:p>
    <w:p w14:paraId="2C643451" w14:textId="39149C07" w:rsidR="00192F18" w:rsidRPr="00B74333" w:rsidRDefault="00192F1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is required to be disclosed by the Parties to </w:t>
      </w:r>
      <w:r w:rsidR="00CD5B50" w:rsidRPr="00B74333">
        <w:rPr>
          <w:rFonts w:eastAsia="Calibri" w:cstheme="minorHAnsi"/>
          <w:color w:val="000000"/>
          <w:sz w:val="24"/>
          <w:szCs w:val="24"/>
          <w:lang w:bidi="en-US"/>
        </w:rPr>
        <w:t>RAE</w:t>
      </w:r>
      <w:r w:rsidR="003153BC" w:rsidRPr="00B74333">
        <w:rPr>
          <w:rFonts w:eastAsia="Calibri" w:cstheme="minorHAnsi"/>
          <w:color w:val="000000"/>
          <w:sz w:val="24"/>
          <w:szCs w:val="24"/>
          <w:lang w:bidi="en-US"/>
        </w:rPr>
        <w:t>W</w:t>
      </w:r>
      <w:r w:rsidR="00CD5B50" w:rsidRPr="00B74333">
        <w:rPr>
          <w:rFonts w:eastAsia="Calibri" w:cstheme="minorHAnsi"/>
          <w:color w:val="000000"/>
          <w:sz w:val="24"/>
          <w:szCs w:val="24"/>
          <w:lang w:bidi="en-US"/>
        </w:rPr>
        <w:t>W</w:t>
      </w:r>
      <w:r w:rsidRPr="00B74333">
        <w:rPr>
          <w:rFonts w:eastAsia="Calibri" w:cstheme="minorHAnsi"/>
          <w:color w:val="000000"/>
          <w:sz w:val="24"/>
          <w:szCs w:val="24"/>
          <w:lang w:bidi="en-US"/>
        </w:rPr>
        <w:t xml:space="preserve"> or another Competent Authority or </w:t>
      </w:r>
      <w:proofErr w:type="gramStart"/>
      <w:r w:rsidRPr="00B74333">
        <w:rPr>
          <w:rFonts w:eastAsia="Calibri" w:cstheme="minorHAnsi"/>
          <w:color w:val="000000"/>
          <w:sz w:val="24"/>
          <w:szCs w:val="24"/>
          <w:lang w:bidi="en-US"/>
        </w:rPr>
        <w:t>in order for</w:t>
      </w:r>
      <w:proofErr w:type="gramEnd"/>
      <w:r w:rsidRPr="00B74333">
        <w:rPr>
          <w:rFonts w:eastAsia="Calibri" w:cstheme="minorHAnsi"/>
          <w:color w:val="000000"/>
          <w:sz w:val="24"/>
          <w:szCs w:val="24"/>
          <w:lang w:bidi="en-US"/>
        </w:rPr>
        <w:t xml:space="preserve"> the Parties to comply with the requirements of the applicable Law or following </w:t>
      </w:r>
      <w:r w:rsidR="00CD5B50" w:rsidRPr="00B74333">
        <w:rPr>
          <w:rFonts w:eastAsia="Calibri" w:cstheme="minorHAnsi"/>
          <w:color w:val="000000"/>
          <w:sz w:val="24"/>
          <w:szCs w:val="24"/>
          <w:lang w:bidi="en-US"/>
        </w:rPr>
        <w:t>RAE</w:t>
      </w:r>
      <w:r w:rsidR="003153BC" w:rsidRPr="00B74333">
        <w:rPr>
          <w:rFonts w:eastAsia="Calibri" w:cstheme="minorHAnsi"/>
          <w:color w:val="000000"/>
          <w:sz w:val="24"/>
          <w:szCs w:val="24"/>
          <w:lang w:bidi="en-US"/>
        </w:rPr>
        <w:t>W</w:t>
      </w:r>
      <w:r w:rsidR="00CD5B50" w:rsidRPr="00B74333">
        <w:rPr>
          <w:rFonts w:eastAsia="Calibri" w:cstheme="minorHAnsi"/>
          <w:color w:val="000000"/>
          <w:sz w:val="24"/>
          <w:szCs w:val="24"/>
          <w:lang w:bidi="en-US"/>
        </w:rPr>
        <w:t>W</w:t>
      </w:r>
      <w:r w:rsidRPr="00B74333">
        <w:rPr>
          <w:rFonts w:eastAsia="Calibri" w:cstheme="minorHAnsi"/>
          <w:color w:val="000000"/>
          <w:sz w:val="24"/>
          <w:szCs w:val="24"/>
          <w:lang w:bidi="en-US"/>
        </w:rPr>
        <w:t>’s or Competent Authority’s decisions.</w:t>
      </w:r>
    </w:p>
    <w:p w14:paraId="1B37DC3F" w14:textId="77777777" w:rsidR="00192F18" w:rsidRPr="00B74333" w:rsidRDefault="00192F18">
      <w:pPr>
        <w:widowControl w:val="0"/>
        <w:numPr>
          <w:ilvl w:val="1"/>
          <w:numId w:val="67"/>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Subject to any restriction applicable to it according to applicable Law, a Party may disclose Confidential Information without the other Party's prior written consent to the following persons:</w:t>
      </w:r>
    </w:p>
    <w:p w14:paraId="4909280A" w14:textId="77777777" w:rsidR="00192F18" w:rsidRPr="00B74333" w:rsidRDefault="00192F1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professional advisers retained by such Party, if and to the extent required in order to enable the disclosing Party to perform its obligations under this </w:t>
      </w:r>
      <w:proofErr w:type="gramStart"/>
      <w:r w:rsidRPr="00B74333">
        <w:rPr>
          <w:rFonts w:eastAsia="Calibri" w:cstheme="minorHAnsi"/>
          <w:color w:val="000000"/>
          <w:sz w:val="24"/>
          <w:szCs w:val="24"/>
          <w:lang w:bidi="en-US"/>
        </w:rPr>
        <w:t>Agreement;</w:t>
      </w:r>
      <w:proofErr w:type="gramEnd"/>
    </w:p>
    <w:p w14:paraId="7F51E896" w14:textId="77777777" w:rsidR="00192F18" w:rsidRPr="00B74333" w:rsidRDefault="00192F18">
      <w:pPr>
        <w:widowControl w:val="0"/>
        <w:numPr>
          <w:ilvl w:val="0"/>
          <w:numId w:val="66"/>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banks or other financial institutions to finance such Party and/or to provide project finance in relation to the DESFA Part of the Project or the issuance of assurances regarding the DESFA Part of the Project; and</w:t>
      </w:r>
    </w:p>
    <w:p w14:paraId="0454C459" w14:textId="5284FA8B" w:rsidR="00192F18" w:rsidRPr="00B74333" w:rsidRDefault="00192F18">
      <w:pPr>
        <w:widowControl w:val="0"/>
        <w:numPr>
          <w:ilvl w:val="0"/>
          <w:numId w:val="66"/>
        </w:numPr>
        <w:tabs>
          <w:tab w:val="left" w:pos="718"/>
        </w:tabs>
        <w:spacing w:after="46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shareholders of DESFA for the </w:t>
      </w:r>
      <w:proofErr w:type="gramStart"/>
      <w:r w:rsidRPr="00B74333">
        <w:rPr>
          <w:rFonts w:eastAsia="Calibri" w:cstheme="minorHAnsi"/>
          <w:color w:val="000000"/>
          <w:sz w:val="24"/>
          <w:szCs w:val="24"/>
          <w:lang w:bidi="en-US"/>
        </w:rPr>
        <w:t>purposes</w:t>
      </w:r>
      <w:proofErr w:type="gramEnd"/>
      <w:r w:rsidRPr="00B74333">
        <w:rPr>
          <w:rFonts w:eastAsia="Calibri" w:cstheme="minorHAnsi"/>
          <w:color w:val="000000"/>
          <w:sz w:val="24"/>
          <w:szCs w:val="24"/>
          <w:lang w:bidi="en-US"/>
        </w:rPr>
        <w:t xml:space="preserve"> of taking the Final Investment Decision</w:t>
      </w:r>
      <w:r w:rsidR="00A50147" w:rsidRPr="00B74333">
        <w:rPr>
          <w:rFonts w:eastAsia="Calibri" w:cstheme="minorHAnsi"/>
          <w:color w:val="000000"/>
          <w:sz w:val="24"/>
          <w:szCs w:val="24"/>
          <w:lang w:bidi="en-US"/>
        </w:rPr>
        <w:t>.</w:t>
      </w:r>
    </w:p>
    <w:p w14:paraId="42FD3591" w14:textId="77777777" w:rsidR="00192F18" w:rsidRPr="00B74333" w:rsidRDefault="00192F18">
      <w:pPr>
        <w:widowControl w:val="0"/>
        <w:numPr>
          <w:ilvl w:val="1"/>
          <w:numId w:val="64"/>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Each Party shall take all necessary and appropriate measures and procedures (</w:t>
      </w:r>
      <w:proofErr w:type="gramStart"/>
      <w:r w:rsidRPr="00B74333">
        <w:rPr>
          <w:rFonts w:eastAsia="Calibri" w:cstheme="minorHAnsi"/>
          <w:color w:val="000000"/>
          <w:sz w:val="24"/>
          <w:szCs w:val="24"/>
          <w:lang w:bidi="en-US"/>
        </w:rPr>
        <w:t>in particular towards</w:t>
      </w:r>
      <w:proofErr w:type="gramEnd"/>
      <w:r w:rsidRPr="00B74333">
        <w:rPr>
          <w:rFonts w:eastAsia="Calibri" w:cstheme="minorHAnsi"/>
          <w:color w:val="000000"/>
          <w:sz w:val="24"/>
          <w:szCs w:val="24"/>
          <w:lang w:bidi="en-US"/>
        </w:rPr>
        <w:t xml:space="preserve"> its representatives, employees, advisers and authorized agents) to enforce and maintain the protection of Confidential Information and to prevent any disclosure of it.</w:t>
      </w:r>
    </w:p>
    <w:p w14:paraId="06FCCE1A" w14:textId="77777777" w:rsidR="00192F18" w:rsidRPr="00B74333" w:rsidRDefault="00192F18">
      <w:pPr>
        <w:widowControl w:val="0"/>
        <w:numPr>
          <w:ilvl w:val="1"/>
          <w:numId w:val="64"/>
        </w:numPr>
        <w:tabs>
          <w:tab w:val="left" w:pos="718"/>
        </w:tabs>
        <w:spacing w:after="6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above obligations shall be binding upon the Parties during the term of the Agreement as well as for a period of five (5) years after its termination in any way whatsoever.</w:t>
      </w:r>
    </w:p>
    <w:p w14:paraId="2B7B676E" w14:textId="77777777" w:rsidR="00192F18" w:rsidRPr="00B74333" w:rsidRDefault="00192F18">
      <w:pPr>
        <w:keepNext/>
        <w:keepLines/>
        <w:widowControl w:val="0"/>
        <w:numPr>
          <w:ilvl w:val="0"/>
          <w:numId w:val="52"/>
        </w:numPr>
        <w:tabs>
          <w:tab w:val="left" w:pos="956"/>
        </w:tabs>
        <w:spacing w:after="80" w:line="257" w:lineRule="auto"/>
        <w:jc w:val="center"/>
        <w:outlineLvl w:val="3"/>
        <w:rPr>
          <w:rFonts w:eastAsia="Calibri" w:cstheme="minorHAnsi"/>
          <w:b/>
          <w:color w:val="000000"/>
          <w:sz w:val="24"/>
          <w:szCs w:val="24"/>
          <w:lang w:bidi="en-US"/>
        </w:rPr>
      </w:pPr>
      <w:bookmarkStart w:id="106" w:name="bookmark48"/>
      <w:r w:rsidRPr="00B74333">
        <w:rPr>
          <w:rFonts w:eastAsia="Calibri" w:cstheme="minorHAnsi"/>
          <w:b/>
          <w:color w:val="000000"/>
          <w:sz w:val="24"/>
          <w:szCs w:val="24"/>
          <w:lang w:bidi="en-US"/>
        </w:rPr>
        <w:t>Anticorruption policy and Code of Ethics</w:t>
      </w:r>
      <w:bookmarkEnd w:id="106"/>
    </w:p>
    <w:p w14:paraId="383BB257" w14:textId="77777777" w:rsidR="00192F18" w:rsidRPr="00B74333" w:rsidRDefault="00192F18">
      <w:pPr>
        <w:widowControl w:val="0"/>
        <w:numPr>
          <w:ilvl w:val="1"/>
          <w:numId w:val="68"/>
        </w:numPr>
        <w:tabs>
          <w:tab w:val="left" w:pos="71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Each Party declares that it is acquainted with and shall fully comply with the Laws on the prohibition of bribery and any other anti-corruption Law applicable to the Parties.</w:t>
      </w:r>
    </w:p>
    <w:p w14:paraId="6535831A" w14:textId="1416CFC4" w:rsidR="00192F18" w:rsidRPr="00B74333" w:rsidRDefault="00192F18">
      <w:pPr>
        <w:widowControl w:val="0"/>
        <w:numPr>
          <w:ilvl w:val="1"/>
          <w:numId w:val="68"/>
        </w:numPr>
        <w:tabs>
          <w:tab w:val="left" w:pos="720"/>
        </w:tabs>
        <w:spacing w:after="62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acknowledges DESFA’s Code of Ethics (the “Code”), as published on DESFA’s site, which shall be fully applicable to this Agreement, and the Company shall comply with the relevant provisions of the Code, including conflicts of interest. The Company further acknowledges that DESFA’s Anticorruption Policy, as published on DESFA’s </w:t>
      </w:r>
      <w:proofErr w:type="gramStart"/>
      <w:r w:rsidRPr="00B74333">
        <w:rPr>
          <w:rFonts w:eastAsia="Calibri" w:cstheme="minorHAnsi"/>
          <w:color w:val="000000"/>
          <w:sz w:val="24"/>
          <w:szCs w:val="24"/>
          <w:lang w:bidi="en-US"/>
        </w:rPr>
        <w:t>site</w:t>
      </w:r>
      <w:proofErr w:type="gramEnd"/>
      <w:r w:rsidRPr="00B74333">
        <w:rPr>
          <w:rFonts w:eastAsia="Calibri" w:cstheme="minorHAnsi"/>
          <w:color w:val="000000"/>
          <w:sz w:val="24"/>
          <w:szCs w:val="24"/>
          <w:lang w:bidi="en-US"/>
        </w:rPr>
        <w:t xml:space="preserve"> shall be applicable to them and that it shall comply with its </w:t>
      </w:r>
      <w:r w:rsidR="004023F6" w:rsidRPr="00B74333">
        <w:rPr>
          <w:rFonts w:eastAsia="Calibri" w:cstheme="minorHAnsi"/>
          <w:color w:val="000000"/>
          <w:sz w:val="24"/>
          <w:szCs w:val="24"/>
          <w:lang w:bidi="en-US"/>
        </w:rPr>
        <w:t>principles</w:t>
      </w:r>
      <w:r w:rsidRPr="00B74333">
        <w:rPr>
          <w:rFonts w:eastAsia="Calibri" w:cstheme="minorHAnsi"/>
          <w:color w:val="000000"/>
          <w:sz w:val="24"/>
          <w:szCs w:val="24"/>
          <w:lang w:bidi="en-US"/>
        </w:rPr>
        <w:t xml:space="preserve">. The Company shall not violate or knowingly permit anyone to violate the Code’s prohibition on bribery or any applicable anti-corruption laws, regulations, </w:t>
      </w:r>
      <w:proofErr w:type="gramStart"/>
      <w:r w:rsidRPr="00B74333">
        <w:rPr>
          <w:rFonts w:eastAsia="Calibri" w:cstheme="minorHAnsi"/>
          <w:color w:val="000000"/>
          <w:sz w:val="24"/>
          <w:szCs w:val="24"/>
          <w:lang w:bidi="en-US"/>
        </w:rPr>
        <w:t>policies</w:t>
      </w:r>
      <w:proofErr w:type="gramEnd"/>
      <w:r w:rsidRPr="00B74333">
        <w:rPr>
          <w:rFonts w:eastAsia="Calibri" w:cstheme="minorHAnsi"/>
          <w:color w:val="000000"/>
          <w:sz w:val="24"/>
          <w:szCs w:val="24"/>
          <w:lang w:bidi="en-US"/>
        </w:rPr>
        <w:t xml:space="preserve"> and procedures in performing under this Agreement. If the Company breaches this Article, DESFA may immediately terminate this Agreement.</w:t>
      </w:r>
    </w:p>
    <w:p w14:paraId="50F371EF" w14:textId="77777777" w:rsidR="00192F18" w:rsidRPr="00B74333" w:rsidRDefault="00192F18">
      <w:pPr>
        <w:keepNext/>
        <w:keepLines/>
        <w:widowControl w:val="0"/>
        <w:numPr>
          <w:ilvl w:val="0"/>
          <w:numId w:val="52"/>
        </w:numPr>
        <w:tabs>
          <w:tab w:val="left" w:pos="1081"/>
        </w:tabs>
        <w:spacing w:after="80" w:line="257" w:lineRule="auto"/>
        <w:jc w:val="center"/>
        <w:outlineLvl w:val="3"/>
        <w:rPr>
          <w:rFonts w:eastAsia="Calibri" w:cstheme="minorHAnsi"/>
          <w:b/>
          <w:color w:val="000000"/>
          <w:sz w:val="24"/>
          <w:szCs w:val="24"/>
          <w:lang w:bidi="en-US"/>
        </w:rPr>
      </w:pPr>
      <w:bookmarkStart w:id="107" w:name="bookmark50"/>
      <w:r w:rsidRPr="00B74333">
        <w:rPr>
          <w:rFonts w:eastAsia="Calibri" w:cstheme="minorHAnsi"/>
          <w:b/>
          <w:color w:val="000000"/>
          <w:sz w:val="24"/>
          <w:szCs w:val="24"/>
          <w:lang w:bidi="en-US"/>
        </w:rPr>
        <w:t>Representation and Warranties</w:t>
      </w:r>
      <w:bookmarkEnd w:id="107"/>
    </w:p>
    <w:p w14:paraId="2666B079" w14:textId="77777777" w:rsidR="00192F18" w:rsidRPr="00B74333"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has the power to </w:t>
      </w:r>
      <w:proofErr w:type="gramStart"/>
      <w:r w:rsidRPr="00B74333">
        <w:rPr>
          <w:rFonts w:eastAsia="Calibri" w:cstheme="minorHAnsi"/>
          <w:color w:val="000000"/>
          <w:sz w:val="24"/>
          <w:szCs w:val="24"/>
          <w:lang w:bidi="en-US"/>
        </w:rPr>
        <w:t>enter into</w:t>
      </w:r>
      <w:proofErr w:type="gramEnd"/>
      <w:r w:rsidRPr="00B74333">
        <w:rPr>
          <w:rFonts w:eastAsia="Calibri" w:cstheme="minorHAnsi"/>
          <w:color w:val="000000"/>
          <w:sz w:val="24"/>
          <w:szCs w:val="24"/>
          <w:lang w:bidi="en-US"/>
        </w:rPr>
        <w:t xml:space="preserve">, deliver and perform, and has taken all </w:t>
      </w:r>
      <w:r w:rsidRPr="00B74333">
        <w:rPr>
          <w:rFonts w:eastAsia="Calibri" w:cstheme="minorHAnsi"/>
          <w:color w:val="000000"/>
          <w:sz w:val="24"/>
          <w:szCs w:val="24"/>
          <w:lang w:bidi="en-US"/>
        </w:rPr>
        <w:lastRenderedPageBreak/>
        <w:t>necessary action to authorize its entry into, delivery and performance of this Agreement.</w:t>
      </w:r>
    </w:p>
    <w:p w14:paraId="4C8CD2D8" w14:textId="77777777" w:rsidR="00192F18" w:rsidRPr="00B74333"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obligations expressed to be assumed by the Company pursuant to this Agreement are legal, valid, </w:t>
      </w:r>
      <w:proofErr w:type="gramStart"/>
      <w:r w:rsidRPr="00B74333">
        <w:rPr>
          <w:rFonts w:eastAsia="Calibri" w:cstheme="minorHAnsi"/>
          <w:color w:val="000000"/>
          <w:sz w:val="24"/>
          <w:szCs w:val="24"/>
          <w:lang w:bidi="en-US"/>
        </w:rPr>
        <w:t>binding</w:t>
      </w:r>
      <w:proofErr w:type="gramEnd"/>
      <w:r w:rsidRPr="00B74333">
        <w:rPr>
          <w:rFonts w:eastAsia="Calibri" w:cstheme="minorHAnsi"/>
          <w:color w:val="000000"/>
          <w:sz w:val="24"/>
          <w:szCs w:val="24"/>
          <w:lang w:bidi="en-US"/>
        </w:rPr>
        <w:t xml:space="preserve"> and enforceable.</w:t>
      </w:r>
    </w:p>
    <w:p w14:paraId="51818DD9" w14:textId="77777777" w:rsidR="00192F18" w:rsidRPr="00B74333"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entry into, delivery and performance by the Company of this Agreement does not conflict with any agreement or instrument binding upon it or any of its assets to an extent or in a manner which has or is reasonably expected to have a material adverse effect.</w:t>
      </w:r>
    </w:p>
    <w:p w14:paraId="722B8E74" w14:textId="77777777" w:rsidR="00192F18" w:rsidRPr="00B74333"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All authorizations which are required to be obtained by the Company on or before the date on which this representation have been obtained by the Company.</w:t>
      </w:r>
    </w:p>
    <w:p w14:paraId="0C04E311" w14:textId="77777777" w:rsidR="00192F18" w:rsidRPr="00B74333"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No Default with respect to the Company has occurred and is continuing or might reasonably be expected to result from its entry into or performance of this Agreement.</w:t>
      </w:r>
    </w:p>
    <w:p w14:paraId="3287BE72" w14:textId="77777777" w:rsidR="00192F18" w:rsidRPr="00B74333" w:rsidRDefault="00192F18">
      <w:pPr>
        <w:widowControl w:val="0"/>
        <w:numPr>
          <w:ilvl w:val="1"/>
          <w:numId w:val="69"/>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No litigation, arbitration or administrative suit or proceeding against the Company which, if adversely determined, would </w:t>
      </w:r>
      <w:proofErr w:type="gramStart"/>
      <w:r w:rsidRPr="00B74333">
        <w:rPr>
          <w:rFonts w:eastAsia="Calibri" w:cstheme="minorHAnsi"/>
          <w:color w:val="000000"/>
          <w:sz w:val="24"/>
          <w:szCs w:val="24"/>
          <w:lang w:bidi="en-US"/>
        </w:rPr>
        <w:t>have</w:t>
      </w:r>
      <w:proofErr w:type="gramEnd"/>
      <w:r w:rsidRPr="00B74333">
        <w:rPr>
          <w:rFonts w:eastAsia="Calibri" w:cstheme="minorHAnsi"/>
          <w:color w:val="000000"/>
          <w:sz w:val="24"/>
          <w:szCs w:val="24"/>
          <w:lang w:bidi="en-US"/>
        </w:rPr>
        <w:t xml:space="preserve"> or would reasonably be expected to have a material adverse effect, is:</w:t>
      </w:r>
    </w:p>
    <w:p w14:paraId="1CA1E8E4" w14:textId="77777777" w:rsidR="00192F18" w:rsidRPr="00B74333" w:rsidRDefault="00192F18">
      <w:pPr>
        <w:widowControl w:val="0"/>
        <w:numPr>
          <w:ilvl w:val="0"/>
          <w:numId w:val="70"/>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current; or</w:t>
      </w:r>
    </w:p>
    <w:p w14:paraId="0A7045A1" w14:textId="77777777" w:rsidR="00192F18" w:rsidRPr="00B74333" w:rsidRDefault="00192F18">
      <w:pPr>
        <w:widowControl w:val="0"/>
        <w:numPr>
          <w:ilvl w:val="0"/>
          <w:numId w:val="70"/>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pending before any court, arbitral or other tribunal, administrative or regulatory body, as the case may </w:t>
      </w:r>
      <w:proofErr w:type="gramStart"/>
      <w:r w:rsidRPr="00B74333">
        <w:rPr>
          <w:rFonts w:eastAsia="Calibri" w:cstheme="minorHAnsi"/>
          <w:color w:val="000000"/>
          <w:sz w:val="24"/>
          <w:szCs w:val="24"/>
          <w:lang w:bidi="en-US"/>
        </w:rPr>
        <w:t>be;</w:t>
      </w:r>
      <w:proofErr w:type="gramEnd"/>
      <w:r w:rsidRPr="00B74333">
        <w:rPr>
          <w:rFonts w:eastAsia="Calibri" w:cstheme="minorHAnsi"/>
          <w:color w:val="000000"/>
          <w:sz w:val="24"/>
          <w:szCs w:val="24"/>
          <w:lang w:bidi="en-US"/>
        </w:rPr>
        <w:t xml:space="preserve"> or</w:t>
      </w:r>
    </w:p>
    <w:p w14:paraId="102BD9F4" w14:textId="77777777" w:rsidR="00192F18" w:rsidRPr="00B74333" w:rsidRDefault="00192F18">
      <w:pPr>
        <w:widowControl w:val="0"/>
        <w:numPr>
          <w:ilvl w:val="0"/>
          <w:numId w:val="70"/>
        </w:numPr>
        <w:tabs>
          <w:tab w:val="left" w:pos="720"/>
        </w:tabs>
        <w:spacing w:after="62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so far as the Company is aware, by reason of receipt of a letter/ formal written notice before action or similar, threatened against the Company.</w:t>
      </w:r>
    </w:p>
    <w:p w14:paraId="7D551C69" w14:textId="77777777" w:rsidR="00192F18" w:rsidRPr="00B74333" w:rsidRDefault="00192F18">
      <w:pPr>
        <w:keepNext/>
        <w:keepLines/>
        <w:widowControl w:val="0"/>
        <w:numPr>
          <w:ilvl w:val="0"/>
          <w:numId w:val="52"/>
        </w:numPr>
        <w:tabs>
          <w:tab w:val="left" w:pos="1081"/>
        </w:tabs>
        <w:spacing w:after="80" w:line="257" w:lineRule="auto"/>
        <w:jc w:val="center"/>
        <w:outlineLvl w:val="3"/>
        <w:rPr>
          <w:rFonts w:eastAsia="Calibri" w:cstheme="minorHAnsi"/>
          <w:b/>
          <w:color w:val="000000"/>
          <w:sz w:val="24"/>
          <w:szCs w:val="24"/>
          <w:lang w:bidi="en-US"/>
        </w:rPr>
      </w:pPr>
      <w:bookmarkStart w:id="108" w:name="bookmark52"/>
      <w:r w:rsidRPr="00B74333">
        <w:rPr>
          <w:rFonts w:eastAsia="Calibri" w:cstheme="minorHAnsi"/>
          <w:b/>
          <w:color w:val="000000"/>
          <w:sz w:val="24"/>
          <w:szCs w:val="24"/>
          <w:lang w:bidi="en-US"/>
        </w:rPr>
        <w:t>Governing Law and Dispute Resolution</w:t>
      </w:r>
      <w:bookmarkEnd w:id="108"/>
    </w:p>
    <w:p w14:paraId="452FDFE1" w14:textId="77777777" w:rsidR="00192F18" w:rsidRPr="00B74333" w:rsidRDefault="00192F18">
      <w:pPr>
        <w:widowControl w:val="0"/>
        <w:numPr>
          <w:ilvl w:val="1"/>
          <w:numId w:val="71"/>
        </w:numPr>
        <w:tabs>
          <w:tab w:val="left" w:pos="720"/>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This Agreement and any non-contractual obligations arising out of or in connection with it shall be governed by the Laws of Greece.</w:t>
      </w:r>
    </w:p>
    <w:p w14:paraId="58AC9EC4" w14:textId="77777777" w:rsidR="00192F18" w:rsidRPr="00B74333" w:rsidRDefault="00192F18">
      <w:pPr>
        <w:widowControl w:val="0"/>
        <w:numPr>
          <w:ilvl w:val="1"/>
          <w:numId w:val="71"/>
        </w:numPr>
        <w:tabs>
          <w:tab w:val="left" w:pos="741"/>
        </w:tabs>
        <w:spacing w:after="62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Any dispute which may arise between the Parties in interpreting or implementing the Agreement and which may not be amicably resolved, the courts exclusively competent to resolve said dispute shall be the Courts of Athens.</w:t>
      </w:r>
    </w:p>
    <w:p w14:paraId="7153B1D9" w14:textId="77777777" w:rsidR="00192F18" w:rsidRPr="00B74333" w:rsidRDefault="00192F18" w:rsidP="002721B1">
      <w:pPr>
        <w:keepNext/>
        <w:keepLines/>
        <w:widowControl w:val="0"/>
        <w:numPr>
          <w:ilvl w:val="0"/>
          <w:numId w:val="52"/>
        </w:numPr>
        <w:tabs>
          <w:tab w:val="left" w:pos="1081"/>
        </w:tabs>
        <w:spacing w:after="80" w:line="257" w:lineRule="auto"/>
        <w:jc w:val="center"/>
        <w:outlineLvl w:val="3"/>
        <w:rPr>
          <w:rFonts w:eastAsia="Calibri" w:cstheme="minorHAnsi"/>
          <w:b/>
          <w:color w:val="000000"/>
          <w:sz w:val="24"/>
          <w:szCs w:val="24"/>
          <w:lang w:bidi="en-US"/>
        </w:rPr>
      </w:pPr>
      <w:r w:rsidRPr="00B74333">
        <w:rPr>
          <w:rFonts w:eastAsia="Calibri" w:cstheme="minorHAnsi"/>
          <w:b/>
          <w:color w:val="000000"/>
          <w:sz w:val="24"/>
          <w:szCs w:val="24"/>
          <w:lang w:bidi="en-US"/>
        </w:rPr>
        <w:t>Miscellaneous</w:t>
      </w:r>
    </w:p>
    <w:p w14:paraId="32DABA35"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b/>
          <w:color w:val="000000"/>
          <w:sz w:val="24"/>
          <w:szCs w:val="24"/>
          <w:lang w:bidi="en-US"/>
        </w:rPr>
      </w:pPr>
      <w:bookmarkStart w:id="109" w:name="bookmark54"/>
      <w:r w:rsidRPr="00B74333">
        <w:rPr>
          <w:rFonts w:eastAsia="Calibri" w:cstheme="minorHAnsi"/>
          <w:color w:val="000000"/>
          <w:sz w:val="24"/>
          <w:szCs w:val="24"/>
          <w:lang w:bidi="en-US"/>
        </w:rPr>
        <w:t>Language</w:t>
      </w:r>
      <w:bookmarkEnd w:id="109"/>
    </w:p>
    <w:p w14:paraId="0C265E25" w14:textId="77777777" w:rsidR="00192F18" w:rsidRPr="00B74333" w:rsidRDefault="00192F18" w:rsidP="00192F18">
      <w:pPr>
        <w:widowControl w:val="0"/>
        <w:spacing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language of this Agreement and the transactions envisaged by it shall be English and all Notices, demands, requests, statements, certificates or other documents or communications shall be in English unless otherwise mandatorily required by any Competent Authority or agreed in writing (in which case a certified English translation shall be delivered by the responsible Party, at its own cost, to the other Party). If this Agreement or any related documents are translated into another language, the English version shall prevail.</w:t>
      </w:r>
    </w:p>
    <w:p w14:paraId="36F67195"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10" w:name="bookmark56"/>
      <w:r w:rsidRPr="00B74333">
        <w:rPr>
          <w:rFonts w:eastAsia="Calibri" w:cstheme="minorHAnsi"/>
          <w:color w:val="000000"/>
          <w:sz w:val="24"/>
          <w:szCs w:val="24"/>
          <w:lang w:bidi="en-US"/>
        </w:rPr>
        <w:lastRenderedPageBreak/>
        <w:t>Data Protection</w:t>
      </w:r>
      <w:bookmarkEnd w:id="110"/>
    </w:p>
    <w:p w14:paraId="27702730" w14:textId="77777777" w:rsidR="00192F18" w:rsidRPr="00B74333" w:rsidRDefault="00192F18" w:rsidP="00192F18">
      <w:pPr>
        <w:widowControl w:val="0"/>
        <w:spacing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Parties shall process any personal data transferred by the other Party (“Personal Data”) in accordance with applicable European and national data protection laws and regulations. Furthermore, each Party shall process Personal Data only to the extent necessary for the performance of the Contract and the fulfilment of legal obligations in its capacity as Independent Data Controller.</w:t>
      </w:r>
    </w:p>
    <w:p w14:paraId="149C2FE9" w14:textId="77777777" w:rsidR="00192F18" w:rsidRPr="00B74333" w:rsidRDefault="00192F18" w:rsidP="00192F18">
      <w:pPr>
        <w:widowControl w:val="0"/>
        <w:spacing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Both Parties are obliged to process Personal Data as confidential information and ensure that any member of their staff who has access to or is involved in the processing of Personal Data complies with the present terms.</w:t>
      </w:r>
    </w:p>
    <w:p w14:paraId="46E6BE75" w14:textId="77777777" w:rsidR="00192F18" w:rsidRPr="00B74333" w:rsidRDefault="00192F18" w:rsidP="00192F18">
      <w:pPr>
        <w:widowControl w:val="0"/>
        <w:spacing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Parties also agree to be subject to the following obligations; </w:t>
      </w:r>
      <w:proofErr w:type="gramStart"/>
      <w:r w:rsidRPr="00B74333">
        <w:rPr>
          <w:rFonts w:eastAsia="Calibri" w:cstheme="minorHAnsi"/>
          <w:color w:val="000000"/>
          <w:sz w:val="24"/>
          <w:szCs w:val="24"/>
          <w:lang w:bidi="en-US"/>
        </w:rPr>
        <w:t>specifically</w:t>
      </w:r>
      <w:proofErr w:type="gramEnd"/>
      <w:r w:rsidRPr="00B74333">
        <w:rPr>
          <w:rFonts w:eastAsia="Calibri" w:cstheme="minorHAnsi"/>
          <w:color w:val="000000"/>
          <w:sz w:val="24"/>
          <w:szCs w:val="24"/>
          <w:lang w:bidi="en-US"/>
        </w:rPr>
        <w:t xml:space="preserve"> that:</w:t>
      </w:r>
    </w:p>
    <w:p w14:paraId="1D256CEA" w14:textId="77777777" w:rsidR="00192F18" w:rsidRPr="00B74333" w:rsidRDefault="00192F18">
      <w:pPr>
        <w:widowControl w:val="0"/>
        <w:numPr>
          <w:ilvl w:val="0"/>
          <w:numId w:val="73"/>
        </w:numPr>
        <w:tabs>
          <w:tab w:val="left" w:pos="730"/>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Data are lawfully collected and </w:t>
      </w:r>
      <w:proofErr w:type="gramStart"/>
      <w:r w:rsidRPr="00B74333">
        <w:rPr>
          <w:rFonts w:eastAsia="Calibri" w:cstheme="minorHAnsi"/>
          <w:color w:val="000000"/>
          <w:sz w:val="24"/>
          <w:szCs w:val="24"/>
          <w:lang w:bidi="en-US"/>
        </w:rPr>
        <w:t>processed;</w:t>
      </w:r>
      <w:proofErr w:type="gramEnd"/>
    </w:p>
    <w:p w14:paraId="3FD021C1" w14:textId="6A2F6C9B" w:rsidR="00192F18" w:rsidRPr="00B74333" w:rsidRDefault="00192F18">
      <w:pPr>
        <w:widowControl w:val="0"/>
        <w:numPr>
          <w:ilvl w:val="0"/>
          <w:numId w:val="73"/>
        </w:numPr>
        <w:tabs>
          <w:tab w:val="left" w:pos="741"/>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Transfers of personal data outside the European Economic Area are conducted in line with articles 44-50</w:t>
      </w:r>
      <w:r w:rsidR="00B4437B" w:rsidRPr="00B74333">
        <w:rPr>
          <w:rFonts w:eastAsia="Calibri" w:cstheme="minorHAnsi"/>
          <w:color w:val="000000"/>
          <w:sz w:val="24"/>
          <w:szCs w:val="24"/>
          <w:lang w:bidi="en-US"/>
        </w:rPr>
        <w:t xml:space="preserve"> of the</w:t>
      </w:r>
      <w:r w:rsidR="00B4437B" w:rsidRPr="00B74333">
        <w:t xml:space="preserve"> </w:t>
      </w:r>
      <w:r w:rsidR="00B4437B" w:rsidRPr="00B74333">
        <w:rPr>
          <w:rFonts w:eastAsia="Calibri" w:cstheme="minorHAnsi"/>
          <w:color w:val="000000"/>
          <w:sz w:val="24"/>
          <w:szCs w:val="24"/>
          <w:lang w:bidi="en-US"/>
        </w:rPr>
        <w:t>European Union General Data Protection Regulation</w:t>
      </w:r>
      <w:r w:rsidR="007D1667" w:rsidRPr="00B74333">
        <w:rPr>
          <w:rFonts w:eastAsia="Calibri" w:cstheme="minorHAnsi"/>
          <w:color w:val="000000"/>
          <w:sz w:val="24"/>
          <w:szCs w:val="24"/>
          <w:lang w:bidi="en-US"/>
        </w:rPr>
        <w:t xml:space="preserve"> </w:t>
      </w:r>
      <w:r w:rsidR="00E91644" w:rsidRPr="00B74333">
        <w:rPr>
          <w:rFonts w:eastAsia="Calibri" w:cstheme="minorHAnsi"/>
          <w:color w:val="000000"/>
          <w:sz w:val="24"/>
          <w:szCs w:val="24"/>
          <w:lang w:bidi="en-US"/>
        </w:rPr>
        <w:t>(</w:t>
      </w:r>
      <w:r w:rsidR="004A4D84" w:rsidRPr="00B74333">
        <w:rPr>
          <w:rFonts w:eastAsia="Calibri" w:cstheme="minorHAnsi"/>
          <w:color w:val="000000"/>
          <w:sz w:val="24"/>
          <w:szCs w:val="24"/>
          <w:lang w:bidi="en-US"/>
        </w:rPr>
        <w:t>Regulation 2016/679/EU</w:t>
      </w:r>
      <w:proofErr w:type="gramStart"/>
      <w:r w:rsidR="004A4D84" w:rsidRPr="00B74333">
        <w:rPr>
          <w:rFonts w:eastAsia="Calibri" w:cstheme="minorHAnsi"/>
          <w:color w:val="000000"/>
          <w:sz w:val="24"/>
          <w:szCs w:val="24"/>
          <w:lang w:bidi="en-US"/>
        </w:rPr>
        <w:t>)</w:t>
      </w:r>
      <w:r w:rsidRPr="00B74333">
        <w:rPr>
          <w:rFonts w:eastAsia="Calibri" w:cstheme="minorHAnsi"/>
          <w:color w:val="000000"/>
          <w:sz w:val="24"/>
          <w:szCs w:val="24"/>
          <w:lang w:bidi="en-US"/>
        </w:rPr>
        <w:t>;</w:t>
      </w:r>
      <w:proofErr w:type="gramEnd"/>
    </w:p>
    <w:p w14:paraId="2EABAD4D" w14:textId="77777777" w:rsidR="00192F18" w:rsidRPr="00B74333" w:rsidRDefault="00192F18">
      <w:pPr>
        <w:widowControl w:val="0"/>
        <w:numPr>
          <w:ilvl w:val="0"/>
          <w:numId w:val="73"/>
        </w:numPr>
        <w:tabs>
          <w:tab w:val="left" w:pos="741"/>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Data subject requests about the exercise of their rights are addressed lawfully and in a timely manner, with the cooperation and assistance of the other Party wherever </w:t>
      </w:r>
      <w:proofErr w:type="gramStart"/>
      <w:r w:rsidRPr="00B74333">
        <w:rPr>
          <w:rFonts w:eastAsia="Calibri" w:cstheme="minorHAnsi"/>
          <w:color w:val="000000"/>
          <w:sz w:val="24"/>
          <w:szCs w:val="24"/>
          <w:lang w:bidi="en-US"/>
        </w:rPr>
        <w:t>needed;</w:t>
      </w:r>
      <w:proofErr w:type="gramEnd"/>
    </w:p>
    <w:p w14:paraId="0B2421B1" w14:textId="01547908" w:rsidR="00192F18" w:rsidRPr="00B74333" w:rsidRDefault="00192F18">
      <w:pPr>
        <w:widowControl w:val="0"/>
        <w:numPr>
          <w:ilvl w:val="0"/>
          <w:numId w:val="73"/>
        </w:numPr>
        <w:tabs>
          <w:tab w:val="left" w:pos="741"/>
        </w:tabs>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Cooperation and assistance </w:t>
      </w:r>
      <w:proofErr w:type="gramStart"/>
      <w:r w:rsidRPr="00B74333">
        <w:rPr>
          <w:rFonts w:eastAsia="Calibri" w:cstheme="minorHAnsi"/>
          <w:color w:val="000000"/>
          <w:sz w:val="24"/>
          <w:szCs w:val="24"/>
          <w:lang w:bidi="en-US"/>
        </w:rPr>
        <w:t>is</w:t>
      </w:r>
      <w:proofErr w:type="gramEnd"/>
      <w:r w:rsidRPr="00B74333">
        <w:rPr>
          <w:rFonts w:eastAsia="Calibri" w:cstheme="minorHAnsi"/>
          <w:color w:val="000000"/>
          <w:sz w:val="24"/>
          <w:szCs w:val="24"/>
          <w:lang w:bidi="en-US"/>
        </w:rPr>
        <w:t xml:space="preserve"> provided between the Parties in good faith for the compliance with obligations related to data breaches.</w:t>
      </w:r>
    </w:p>
    <w:p w14:paraId="042D380E" w14:textId="77777777" w:rsidR="00192F18" w:rsidRPr="00B74333" w:rsidRDefault="00192F18" w:rsidP="00192F18">
      <w:pPr>
        <w:widowControl w:val="0"/>
        <w:spacing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DESFA has the right to request at any time the return and/or deletion of any personal data transferred to the </w:t>
      </w:r>
      <w:proofErr w:type="gramStart"/>
      <w:r w:rsidRPr="00B74333">
        <w:rPr>
          <w:rFonts w:eastAsia="Calibri" w:cstheme="minorHAnsi"/>
          <w:color w:val="000000"/>
          <w:sz w:val="24"/>
          <w:szCs w:val="24"/>
          <w:lang w:bidi="en-US"/>
        </w:rPr>
        <w:t>Company, unless</w:t>
      </w:r>
      <w:proofErr w:type="gramEnd"/>
      <w:r w:rsidRPr="00B74333">
        <w:rPr>
          <w:rFonts w:eastAsia="Calibri" w:cstheme="minorHAnsi"/>
          <w:color w:val="000000"/>
          <w:sz w:val="24"/>
          <w:szCs w:val="24"/>
          <w:lang w:bidi="en-US"/>
        </w:rPr>
        <w:t xml:space="preserve"> the latter is required by law to keep this data. After termination of this Agreement, the Company is obliged to terminate the processing of Personal Data and proceed to their return or erasure.</w:t>
      </w:r>
    </w:p>
    <w:p w14:paraId="55CC1FC4" w14:textId="77777777" w:rsidR="00192F18" w:rsidRPr="00B74333" w:rsidRDefault="00192F18" w:rsidP="00192F18">
      <w:pPr>
        <w:widowControl w:val="0"/>
        <w:spacing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warrants and guarantees that organizational and technical measures are applied, </w:t>
      </w:r>
      <w:proofErr w:type="gramStart"/>
      <w:r w:rsidRPr="00B74333">
        <w:rPr>
          <w:rFonts w:eastAsia="Calibri" w:cstheme="minorHAnsi"/>
          <w:color w:val="000000"/>
          <w:sz w:val="24"/>
          <w:szCs w:val="24"/>
          <w:lang w:bidi="en-US"/>
        </w:rPr>
        <w:t>in order to</w:t>
      </w:r>
      <w:proofErr w:type="gramEnd"/>
      <w:r w:rsidRPr="00B74333">
        <w:rPr>
          <w:rFonts w:eastAsia="Calibri" w:cstheme="minorHAnsi"/>
          <w:color w:val="000000"/>
          <w:sz w:val="24"/>
          <w:szCs w:val="24"/>
          <w:lang w:bidi="en-US"/>
        </w:rPr>
        <w:t xml:space="preserve"> ensure the protection and security of Personal Data and that it shall fully comply with its accountability requirements before competent Supervisory Authorities under applicable data protection laws and regulations.</w:t>
      </w:r>
    </w:p>
    <w:p w14:paraId="12EB8244"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11" w:name="bookmark58"/>
      <w:r w:rsidRPr="00B74333">
        <w:rPr>
          <w:rFonts w:eastAsia="Calibri" w:cstheme="minorHAnsi"/>
          <w:color w:val="000000"/>
          <w:sz w:val="24"/>
          <w:szCs w:val="24"/>
          <w:lang w:bidi="en-US"/>
        </w:rPr>
        <w:t>Notices</w:t>
      </w:r>
      <w:bookmarkEnd w:id="111"/>
    </w:p>
    <w:p w14:paraId="6FF118EE"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Any notice or other communication from one Party to any other Party which is required or permitted to be made under the provisions of this Agreement shall be made in writing and delivered by hand, email, pre-paid recorded delivery, pre-paid special </w:t>
      </w:r>
      <w:proofErr w:type="gramStart"/>
      <w:r w:rsidRPr="00B74333">
        <w:rPr>
          <w:rFonts w:eastAsia="Calibri" w:cstheme="minorHAnsi"/>
          <w:color w:val="000000"/>
          <w:sz w:val="24"/>
          <w:szCs w:val="24"/>
          <w:lang w:bidi="en-US"/>
        </w:rPr>
        <w:t>delivery</w:t>
      </w:r>
      <w:proofErr w:type="gramEnd"/>
      <w:r w:rsidRPr="00B74333">
        <w:rPr>
          <w:rFonts w:eastAsia="Calibri" w:cstheme="minorHAnsi"/>
          <w:color w:val="000000"/>
          <w:sz w:val="24"/>
          <w:szCs w:val="24"/>
          <w:lang w:bidi="en-US"/>
        </w:rPr>
        <w:t xml:space="preserve"> or courier to the other Party at the address and marked for the attention of the person(s) designated below:</w:t>
      </w:r>
    </w:p>
    <w:p w14:paraId="0F566570" w14:textId="77777777" w:rsidR="00192F18" w:rsidRPr="00B74333" w:rsidRDefault="00192F18">
      <w:pPr>
        <w:widowControl w:val="0"/>
        <w:numPr>
          <w:ilvl w:val="0"/>
          <w:numId w:val="74"/>
        </w:numPr>
        <w:tabs>
          <w:tab w:val="left" w:pos="716"/>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if to DESFA:</w:t>
      </w:r>
    </w:p>
    <w:p w14:paraId="007E40A6"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Address: </w:t>
      </w:r>
      <w:bookmarkStart w:id="112" w:name="_Hlk163564903"/>
      <w:r w:rsidRPr="00B74333">
        <w:rPr>
          <w:rFonts w:eastAsia="Calibri" w:cstheme="minorHAnsi"/>
          <w:color w:val="000000"/>
          <w:sz w:val="24"/>
          <w:szCs w:val="24"/>
          <w:lang w:bidi="en-US"/>
        </w:rPr>
        <w:t>[•]</w:t>
      </w:r>
      <w:bookmarkEnd w:id="112"/>
    </w:p>
    <w:p w14:paraId="0682D44F"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Email: [•]</w:t>
      </w:r>
    </w:p>
    <w:p w14:paraId="6417906C"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Tel. number: [•]</w:t>
      </w:r>
    </w:p>
    <w:p w14:paraId="770C6DA2"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Marked for the attention of:</w:t>
      </w:r>
    </w:p>
    <w:p w14:paraId="32D6DE1B" w14:textId="77777777" w:rsidR="00192F18" w:rsidRPr="00B74333" w:rsidRDefault="00192F18">
      <w:pPr>
        <w:widowControl w:val="0"/>
        <w:numPr>
          <w:ilvl w:val="0"/>
          <w:numId w:val="74"/>
        </w:numPr>
        <w:tabs>
          <w:tab w:val="left" w:pos="716"/>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lastRenderedPageBreak/>
        <w:t>if to the Company:</w:t>
      </w:r>
    </w:p>
    <w:p w14:paraId="78138E31"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Address: [•]</w:t>
      </w:r>
    </w:p>
    <w:p w14:paraId="2142EC95"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Email: [•]</w:t>
      </w:r>
    </w:p>
    <w:p w14:paraId="1F7AD07F"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Tel. number: [•]</w:t>
      </w:r>
    </w:p>
    <w:p w14:paraId="459D4CBD"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Marked for the attention of: [•]</w:t>
      </w:r>
    </w:p>
    <w:p w14:paraId="3E95B5C4"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13" w:name="bookmark60"/>
      <w:r w:rsidRPr="00B74333">
        <w:rPr>
          <w:rFonts w:eastAsia="Calibri" w:cstheme="minorHAnsi"/>
          <w:color w:val="000000"/>
          <w:sz w:val="24"/>
          <w:szCs w:val="24"/>
          <w:lang w:bidi="en-US"/>
        </w:rPr>
        <w:t>Agent for Service of Process</w:t>
      </w:r>
      <w:bookmarkEnd w:id="113"/>
    </w:p>
    <w:p w14:paraId="106B0882" w14:textId="41E6630C" w:rsidR="00192F18" w:rsidRPr="00B74333" w:rsidRDefault="00192F18">
      <w:pPr>
        <w:widowControl w:val="0"/>
        <w:numPr>
          <w:ilvl w:val="2"/>
          <w:numId w:val="72"/>
        </w:numPr>
        <w:tabs>
          <w:tab w:val="left" w:pos="838"/>
        </w:tabs>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Company shall designate a person resident or seated in Greece who shall be authorized to accept service of both judicial and extra-judicial procedural documents on behalf of the Company. The Company irrevocably appoints </w:t>
      </w:r>
      <w:r w:rsidRPr="00B74333">
        <w:rPr>
          <w:rFonts w:eastAsia="Calibri" w:cstheme="minorHAnsi"/>
          <w:i/>
          <w:color w:val="000000"/>
          <w:sz w:val="24"/>
          <w:szCs w:val="24"/>
          <w:lang w:bidi="en-US"/>
        </w:rPr>
        <w:t>[to be completed as appropriate</w:t>
      </w:r>
      <w:r w:rsidR="0037481E" w:rsidRPr="00B74333">
        <w:rPr>
          <w:rFonts w:eastAsia="Calibri" w:cstheme="minorHAnsi"/>
          <w:i/>
          <w:color w:val="000000"/>
          <w:sz w:val="24"/>
          <w:szCs w:val="24"/>
          <w:lang w:bidi="en-US"/>
        </w:rPr>
        <w:t xml:space="preserve">: </w:t>
      </w:r>
      <w:r w:rsidR="00956065" w:rsidRPr="00B74333">
        <w:rPr>
          <w:rFonts w:eastAsia="Calibri" w:cstheme="minorHAnsi"/>
          <w:i/>
          <w:color w:val="000000"/>
          <w:sz w:val="24"/>
          <w:szCs w:val="24"/>
          <w:lang w:bidi="en-US"/>
        </w:rPr>
        <w:t>[</w:t>
      </w:r>
      <w:r w:rsidR="0037481E" w:rsidRPr="00B74333">
        <w:rPr>
          <w:rFonts w:eastAsia="Calibri" w:cstheme="minorHAnsi"/>
          <w:i/>
          <w:color w:val="000000"/>
          <w:sz w:val="24"/>
          <w:szCs w:val="24"/>
          <w:lang w:bidi="en-US"/>
        </w:rPr>
        <w:t>Nam</w:t>
      </w:r>
      <w:r w:rsidR="00356D33" w:rsidRPr="00B74333">
        <w:rPr>
          <w:rFonts w:eastAsia="Calibri" w:cstheme="minorHAnsi"/>
          <w:i/>
          <w:color w:val="000000"/>
          <w:sz w:val="24"/>
          <w:szCs w:val="24"/>
          <w:lang w:bidi="en-US"/>
        </w:rPr>
        <w:t>e</w:t>
      </w:r>
      <w:r w:rsidR="00956065" w:rsidRPr="00B74333">
        <w:rPr>
          <w:rFonts w:eastAsia="Calibri" w:cstheme="minorHAnsi"/>
          <w:i/>
          <w:color w:val="000000"/>
          <w:sz w:val="24"/>
          <w:szCs w:val="24"/>
          <w:lang w:bidi="en-US"/>
        </w:rPr>
        <w:t>]</w:t>
      </w:r>
      <w:r w:rsidR="000456C6" w:rsidRPr="00B74333">
        <w:rPr>
          <w:rFonts w:eastAsia="Calibri" w:cstheme="minorHAnsi"/>
          <w:i/>
          <w:color w:val="000000"/>
          <w:sz w:val="24"/>
          <w:szCs w:val="24"/>
          <w:lang w:bidi="en-US"/>
        </w:rPr>
        <w:t xml:space="preserve">, </w:t>
      </w:r>
      <w:r w:rsidR="00956065" w:rsidRPr="00B74333">
        <w:rPr>
          <w:rFonts w:eastAsia="Calibri" w:cstheme="minorHAnsi"/>
          <w:i/>
          <w:color w:val="000000"/>
          <w:sz w:val="24"/>
          <w:szCs w:val="24"/>
          <w:lang w:bidi="en-US"/>
        </w:rPr>
        <w:t>[</w:t>
      </w:r>
      <w:r w:rsidR="000456C6" w:rsidRPr="00B74333">
        <w:rPr>
          <w:rFonts w:eastAsia="Calibri" w:cstheme="minorHAnsi"/>
          <w:i/>
          <w:color w:val="000000"/>
          <w:sz w:val="24"/>
          <w:szCs w:val="24"/>
          <w:lang w:bidi="en-US"/>
        </w:rPr>
        <w:t xml:space="preserve">Surname], </w:t>
      </w:r>
      <w:r w:rsidR="004D7151" w:rsidRPr="00B74333">
        <w:rPr>
          <w:rFonts w:eastAsia="Calibri" w:cstheme="minorHAnsi"/>
          <w:i/>
          <w:color w:val="000000"/>
          <w:sz w:val="24"/>
          <w:szCs w:val="24"/>
          <w:lang w:bidi="en-US"/>
        </w:rPr>
        <w:t>[</w:t>
      </w:r>
      <w:r w:rsidR="00BF23DA" w:rsidRPr="00B74333">
        <w:rPr>
          <w:rFonts w:eastAsia="Calibri" w:cstheme="minorHAnsi"/>
          <w:i/>
          <w:color w:val="000000"/>
          <w:sz w:val="24"/>
          <w:szCs w:val="24"/>
          <w:lang w:bidi="en-US"/>
        </w:rPr>
        <w:t xml:space="preserve">Address], </w:t>
      </w:r>
      <w:r w:rsidR="00B57385" w:rsidRPr="00B74333">
        <w:rPr>
          <w:rFonts w:eastAsia="Calibri" w:cstheme="minorHAnsi"/>
          <w:i/>
          <w:color w:val="000000"/>
          <w:sz w:val="24"/>
          <w:szCs w:val="24"/>
          <w:lang w:bidi="en-US"/>
        </w:rPr>
        <w:t xml:space="preserve">[Email], </w:t>
      </w:r>
      <w:r w:rsidR="004D7151" w:rsidRPr="00B74333">
        <w:rPr>
          <w:rFonts w:eastAsia="Calibri" w:cstheme="minorHAnsi"/>
          <w:i/>
          <w:color w:val="000000"/>
          <w:sz w:val="24"/>
          <w:szCs w:val="24"/>
          <w:lang w:bidi="en-US"/>
        </w:rPr>
        <w:t>[</w:t>
      </w:r>
      <w:r w:rsidR="00C567F1" w:rsidRPr="00B74333">
        <w:rPr>
          <w:rFonts w:eastAsia="Calibri" w:cstheme="minorHAnsi"/>
          <w:i/>
          <w:color w:val="000000"/>
          <w:sz w:val="24"/>
          <w:szCs w:val="24"/>
          <w:lang w:bidi="en-US"/>
        </w:rPr>
        <w:t>Tel. Number]</w:t>
      </w:r>
      <w:r w:rsidR="000B1CBA" w:rsidRPr="00B74333">
        <w:rPr>
          <w:rFonts w:eastAsia="Calibri" w:cstheme="minorHAnsi"/>
          <w:i/>
          <w:color w:val="000000"/>
          <w:sz w:val="24"/>
          <w:szCs w:val="24"/>
          <w:lang w:bidi="en-US"/>
        </w:rPr>
        <w:t xml:space="preserve">, </w:t>
      </w:r>
      <w:r w:rsidR="004D7151" w:rsidRPr="00B74333">
        <w:rPr>
          <w:rFonts w:eastAsia="Calibri" w:cstheme="minorHAnsi"/>
          <w:i/>
          <w:color w:val="000000"/>
          <w:sz w:val="24"/>
          <w:szCs w:val="24"/>
          <w:lang w:bidi="en-US"/>
        </w:rPr>
        <w:t>[</w:t>
      </w:r>
      <w:r w:rsidR="00831327" w:rsidRPr="00B74333">
        <w:rPr>
          <w:rFonts w:eastAsia="Calibri" w:cstheme="minorHAnsi"/>
          <w:i/>
          <w:color w:val="000000"/>
          <w:sz w:val="24"/>
          <w:szCs w:val="24"/>
          <w:lang w:bidi="en-US"/>
        </w:rPr>
        <w:t>TIN]</w:t>
      </w:r>
      <w:r w:rsidR="00157CAF" w:rsidRPr="00B74333">
        <w:rPr>
          <w:rFonts w:eastAsia="Calibri" w:cstheme="minorHAnsi"/>
          <w:i/>
          <w:color w:val="000000"/>
          <w:sz w:val="24"/>
          <w:szCs w:val="24"/>
          <w:lang w:bidi="en-US"/>
        </w:rPr>
        <w:t xml:space="preserve">, </w:t>
      </w:r>
      <w:r w:rsidR="004D7151" w:rsidRPr="00B74333">
        <w:rPr>
          <w:rFonts w:eastAsia="Calibri" w:cstheme="minorHAnsi"/>
          <w:i/>
          <w:color w:val="000000"/>
          <w:sz w:val="24"/>
          <w:szCs w:val="24"/>
          <w:lang w:bidi="en-US"/>
        </w:rPr>
        <w:t>[</w:t>
      </w:r>
      <w:r w:rsidR="00157CAF" w:rsidRPr="00B74333">
        <w:rPr>
          <w:rFonts w:eastAsia="Calibri" w:cstheme="minorHAnsi"/>
          <w:i/>
          <w:color w:val="000000"/>
          <w:sz w:val="24"/>
          <w:szCs w:val="24"/>
          <w:lang w:bidi="en-US"/>
        </w:rPr>
        <w:t>ID Number]</w:t>
      </w:r>
      <w:r w:rsidRPr="00B74333">
        <w:rPr>
          <w:rFonts w:eastAsia="Calibri" w:cstheme="minorHAnsi"/>
          <w:i/>
          <w:color w:val="000000"/>
          <w:sz w:val="24"/>
          <w:szCs w:val="24"/>
          <w:lang w:bidi="en-US"/>
        </w:rPr>
        <w:t>]</w:t>
      </w:r>
      <w:r w:rsidRPr="00B74333">
        <w:rPr>
          <w:rFonts w:eastAsia="Calibri" w:cstheme="minorHAnsi"/>
          <w:color w:val="000000"/>
          <w:sz w:val="24"/>
          <w:szCs w:val="24"/>
          <w:lang w:bidi="en-US"/>
        </w:rPr>
        <w:t xml:space="preserve"> as its agent under this Agreement for service of process in any proceedings before the competent courts of law or other Competent Authority in relation to any dispute in the context of this Agreement.</w:t>
      </w:r>
    </w:p>
    <w:p w14:paraId="753210B5" w14:textId="77777777" w:rsidR="00192F18" w:rsidRPr="00B74333" w:rsidRDefault="00192F18">
      <w:pPr>
        <w:widowControl w:val="0"/>
        <w:numPr>
          <w:ilvl w:val="2"/>
          <w:numId w:val="72"/>
        </w:numPr>
        <w:tabs>
          <w:tab w:val="left" w:pos="834"/>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company agrees that failure by a process agent to notify it of any process will not invalidate the relevant proceedings.</w:t>
      </w:r>
    </w:p>
    <w:p w14:paraId="1CB7D369" w14:textId="77777777" w:rsidR="00192F18" w:rsidRPr="00B74333" w:rsidRDefault="00192F18">
      <w:pPr>
        <w:widowControl w:val="0"/>
        <w:numPr>
          <w:ilvl w:val="2"/>
          <w:numId w:val="72"/>
        </w:numPr>
        <w:tabs>
          <w:tab w:val="left" w:pos="838"/>
        </w:tabs>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The service of process provisions set out herein shall not affect any other method of service allowed by Law.</w:t>
      </w:r>
    </w:p>
    <w:p w14:paraId="53362D19"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14" w:name="bookmark62"/>
      <w:r w:rsidRPr="00B74333">
        <w:rPr>
          <w:rFonts w:eastAsia="Calibri" w:cstheme="minorHAnsi"/>
          <w:color w:val="000000"/>
          <w:sz w:val="24"/>
          <w:szCs w:val="24"/>
          <w:lang w:bidi="en-US"/>
        </w:rPr>
        <w:t>Amendment</w:t>
      </w:r>
      <w:bookmarkEnd w:id="114"/>
    </w:p>
    <w:p w14:paraId="606CFCA2" w14:textId="77777777" w:rsidR="00192F18" w:rsidRPr="00B74333" w:rsidRDefault="00192F18" w:rsidP="00192F18">
      <w:pPr>
        <w:widowControl w:val="0"/>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This Agreement may only be amended or modified by agreement in writing and signed by a duly authorized representative of each Party.</w:t>
      </w:r>
    </w:p>
    <w:p w14:paraId="5024C9E9"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15" w:name="bookmark64"/>
      <w:r w:rsidRPr="00B74333">
        <w:rPr>
          <w:rFonts w:eastAsia="Calibri" w:cstheme="minorHAnsi"/>
          <w:color w:val="000000"/>
          <w:sz w:val="24"/>
          <w:szCs w:val="24"/>
          <w:lang w:bidi="en-US"/>
        </w:rPr>
        <w:t>Severability</w:t>
      </w:r>
      <w:bookmarkEnd w:id="115"/>
    </w:p>
    <w:p w14:paraId="2E62E189" w14:textId="77777777" w:rsidR="00192F18" w:rsidRPr="00B74333" w:rsidRDefault="00192F18" w:rsidP="00192F18">
      <w:pPr>
        <w:widowControl w:val="0"/>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If any Article of this Agreement is held to be or becomes void or otherwise unenforceable for any reason under applicable Law, that Article shall be deemed omitted from this Agreement and the validity and enforceability of the remaining provisions of this Agreement shall not in any way be affected or impaired as a result of that omission and the Parties shall meet to negotiate in good faith and seek to agree a mutually satisfactory valid and enforceable provision to replace the omitted provision.</w:t>
      </w:r>
    </w:p>
    <w:p w14:paraId="22732235" w14:textId="77777777" w:rsidR="00192F18" w:rsidRPr="00B74333" w:rsidRDefault="00192F18">
      <w:pPr>
        <w:keepNext/>
        <w:keepLines/>
        <w:widowControl w:val="0"/>
        <w:numPr>
          <w:ilvl w:val="1"/>
          <w:numId w:val="72"/>
        </w:numPr>
        <w:spacing w:after="0" w:line="254" w:lineRule="auto"/>
        <w:jc w:val="both"/>
        <w:outlineLvl w:val="3"/>
        <w:rPr>
          <w:rFonts w:eastAsia="Calibri" w:cstheme="minorHAnsi"/>
          <w:color w:val="000000"/>
          <w:sz w:val="24"/>
          <w:szCs w:val="24"/>
          <w:lang w:bidi="en-US"/>
        </w:rPr>
      </w:pPr>
      <w:bookmarkStart w:id="116" w:name="bookmark66"/>
      <w:r w:rsidRPr="00B74333">
        <w:rPr>
          <w:rFonts w:eastAsia="Calibri" w:cstheme="minorHAnsi"/>
          <w:color w:val="000000"/>
          <w:sz w:val="24"/>
          <w:szCs w:val="24"/>
          <w:lang w:bidi="en-US"/>
        </w:rPr>
        <w:t>Waivers</w:t>
      </w:r>
      <w:bookmarkEnd w:id="116"/>
    </w:p>
    <w:p w14:paraId="35F41223" w14:textId="77777777" w:rsidR="00192F18" w:rsidRPr="00B74333" w:rsidRDefault="00192F18" w:rsidP="00192F18">
      <w:pPr>
        <w:widowControl w:val="0"/>
        <w:spacing w:after="14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The failure by any Party to exercise, or the delay by any Party in exercising any right, power, </w:t>
      </w:r>
      <w:proofErr w:type="gramStart"/>
      <w:r w:rsidRPr="00B74333">
        <w:rPr>
          <w:rFonts w:eastAsia="Calibri" w:cstheme="minorHAnsi"/>
          <w:color w:val="000000"/>
          <w:sz w:val="24"/>
          <w:szCs w:val="24"/>
          <w:lang w:bidi="en-US"/>
        </w:rPr>
        <w:t>privilege</w:t>
      </w:r>
      <w:proofErr w:type="gramEnd"/>
      <w:r w:rsidRPr="00B74333">
        <w:rPr>
          <w:rFonts w:eastAsia="Calibri" w:cstheme="minorHAnsi"/>
          <w:color w:val="000000"/>
          <w:sz w:val="24"/>
          <w:szCs w:val="24"/>
          <w:lang w:bidi="en-US"/>
        </w:rPr>
        <w:t xml:space="preserve"> or remedy provided under this Agreement shall not constitute a waiver of the right, power, privilege or remedy.</w:t>
      </w:r>
    </w:p>
    <w:p w14:paraId="6F689C1C" w14:textId="77777777" w:rsidR="00192F18" w:rsidRPr="00B74333" w:rsidRDefault="00192F18" w:rsidP="00192F18">
      <w:pPr>
        <w:widowControl w:val="0"/>
        <w:spacing w:after="140" w:line="257" w:lineRule="auto"/>
        <w:jc w:val="both"/>
        <w:rPr>
          <w:rFonts w:eastAsia="Calibri" w:cstheme="minorHAnsi"/>
          <w:color w:val="000000"/>
          <w:sz w:val="24"/>
          <w:szCs w:val="24"/>
          <w:lang w:bidi="en-US"/>
        </w:rPr>
      </w:pPr>
      <w:r w:rsidRPr="00B74333">
        <w:rPr>
          <w:rFonts w:eastAsia="Calibri" w:cstheme="minorHAnsi"/>
          <w:color w:val="000000"/>
          <w:sz w:val="24"/>
          <w:szCs w:val="24"/>
          <w:lang w:bidi="en-US"/>
        </w:rPr>
        <w:t xml:space="preserve">This Agreement has been signed in </w:t>
      </w:r>
      <w:r w:rsidRPr="00B74333">
        <w:rPr>
          <w:rFonts w:eastAsia="Calibri" w:cstheme="minorHAnsi"/>
          <w:i/>
          <w:color w:val="000000"/>
          <w:sz w:val="24"/>
          <w:szCs w:val="24"/>
          <w:lang w:bidi="en-US"/>
        </w:rPr>
        <w:t>two (2)</w:t>
      </w:r>
      <w:r w:rsidRPr="00B74333">
        <w:rPr>
          <w:rFonts w:eastAsia="Calibri" w:cstheme="minorHAnsi"/>
          <w:color w:val="000000"/>
          <w:sz w:val="24"/>
          <w:szCs w:val="24"/>
          <w:lang w:bidi="en-US"/>
        </w:rPr>
        <w:t xml:space="preserve"> original counterparts, each Party acknowledging receipt of its counterpart.</w:t>
      </w:r>
    </w:p>
    <w:p w14:paraId="1B39BE62" w14:textId="77777777" w:rsidR="00192F18" w:rsidRPr="00B74333" w:rsidRDefault="00192F18" w:rsidP="00192F18">
      <w:pPr>
        <w:widowControl w:val="0"/>
        <w:spacing w:after="0" w:line="254" w:lineRule="auto"/>
        <w:jc w:val="both"/>
        <w:rPr>
          <w:rFonts w:eastAsia="Calibri" w:cstheme="minorHAnsi"/>
          <w:color w:val="000000"/>
          <w:sz w:val="24"/>
          <w:szCs w:val="24"/>
          <w:lang w:bidi="en-US"/>
        </w:rPr>
      </w:pPr>
      <w:r w:rsidRPr="00B74333">
        <w:rPr>
          <w:rFonts w:eastAsia="Calibri" w:cstheme="minorHAnsi"/>
          <w:b/>
          <w:color w:val="000000"/>
          <w:sz w:val="24"/>
          <w:szCs w:val="24"/>
          <w:lang w:bidi="en-US"/>
        </w:rPr>
        <w:t xml:space="preserve">Signed for </w:t>
      </w:r>
      <w:r w:rsidRPr="00B74333">
        <w:rPr>
          <w:rFonts w:eastAsia="Calibri" w:cstheme="minorHAnsi"/>
          <w:color w:val="000000"/>
          <w:sz w:val="24"/>
          <w:szCs w:val="24"/>
          <w:lang w:bidi="en-US"/>
        </w:rPr>
        <w:t>DESFA</w:t>
      </w:r>
    </w:p>
    <w:p w14:paraId="114971C6" w14:textId="21093E9C" w:rsidR="00192F18" w:rsidRPr="00B74333" w:rsidRDefault="00192F18" w:rsidP="00192F18">
      <w:pPr>
        <w:widowControl w:val="0"/>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By:</w:t>
      </w:r>
      <w:r w:rsidR="008B6BAE" w:rsidRPr="00B74333">
        <w:rPr>
          <w:rFonts w:eastAsia="Calibri" w:cstheme="minorHAnsi"/>
          <w:color w:val="000000"/>
          <w:sz w:val="24"/>
          <w:szCs w:val="24"/>
          <w:lang w:bidi="en-US"/>
        </w:rPr>
        <w:t xml:space="preserve"> [•]</w:t>
      </w:r>
    </w:p>
    <w:p w14:paraId="499E66EF" w14:textId="1E9114B5" w:rsidR="00192F18" w:rsidRPr="00B74333" w:rsidRDefault="00192F18" w:rsidP="00192F18">
      <w:pPr>
        <w:widowControl w:val="0"/>
        <w:spacing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Title:</w:t>
      </w:r>
      <w:r w:rsidR="008B6BAE" w:rsidRPr="00B74333">
        <w:rPr>
          <w:rFonts w:eastAsia="Calibri" w:cstheme="minorHAnsi"/>
          <w:color w:val="000000"/>
          <w:sz w:val="24"/>
          <w:szCs w:val="24"/>
          <w:lang w:bidi="en-US"/>
        </w:rPr>
        <w:t xml:space="preserve"> [•]</w:t>
      </w:r>
    </w:p>
    <w:p w14:paraId="5CDFCCE4" w14:textId="77777777" w:rsidR="00192F18" w:rsidRPr="00B74333" w:rsidRDefault="00192F18" w:rsidP="00192F18">
      <w:pPr>
        <w:widowControl w:val="0"/>
        <w:spacing w:after="0" w:line="254" w:lineRule="auto"/>
        <w:jc w:val="both"/>
        <w:rPr>
          <w:rFonts w:eastAsia="Calibri" w:cstheme="minorHAnsi"/>
          <w:color w:val="000000"/>
          <w:sz w:val="24"/>
          <w:szCs w:val="24"/>
          <w:lang w:bidi="en-US"/>
        </w:rPr>
      </w:pPr>
      <w:r w:rsidRPr="00B74333">
        <w:rPr>
          <w:rFonts w:eastAsia="Calibri" w:cstheme="minorHAnsi"/>
          <w:b/>
          <w:color w:val="000000"/>
          <w:sz w:val="24"/>
          <w:szCs w:val="24"/>
          <w:lang w:bidi="en-US"/>
        </w:rPr>
        <w:lastRenderedPageBreak/>
        <w:t xml:space="preserve">Signed for </w:t>
      </w:r>
      <w:r w:rsidRPr="00B74333">
        <w:rPr>
          <w:rFonts w:eastAsia="Calibri" w:cstheme="minorHAnsi"/>
          <w:i/>
          <w:color w:val="000000"/>
          <w:sz w:val="24"/>
          <w:szCs w:val="24"/>
          <w:lang w:bidi="en-US"/>
        </w:rPr>
        <w:t>[name of the Company]</w:t>
      </w:r>
    </w:p>
    <w:p w14:paraId="10C44084" w14:textId="16334B37" w:rsidR="00192F18" w:rsidRPr="00B74333" w:rsidRDefault="00192F18" w:rsidP="00192F18">
      <w:pPr>
        <w:widowControl w:val="0"/>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By:</w:t>
      </w:r>
      <w:r w:rsidR="008B6BAE" w:rsidRPr="00B74333">
        <w:rPr>
          <w:rFonts w:eastAsia="Calibri" w:cstheme="minorHAnsi"/>
          <w:color w:val="000000"/>
          <w:sz w:val="24"/>
          <w:szCs w:val="24"/>
          <w:lang w:bidi="en-US"/>
        </w:rPr>
        <w:t xml:space="preserve"> [•]</w:t>
      </w:r>
    </w:p>
    <w:p w14:paraId="53EBBAD4" w14:textId="4B8AEC6D" w:rsidR="00192F18" w:rsidRPr="00B74333" w:rsidRDefault="00192F18" w:rsidP="00192F18">
      <w:pPr>
        <w:widowControl w:val="0"/>
        <w:spacing w:after="0" w:line="254" w:lineRule="auto"/>
        <w:jc w:val="both"/>
        <w:rPr>
          <w:rFonts w:eastAsia="Calibri" w:cstheme="minorHAnsi"/>
          <w:color w:val="000000"/>
          <w:sz w:val="24"/>
          <w:szCs w:val="24"/>
          <w:lang w:bidi="en-US"/>
        </w:rPr>
      </w:pPr>
      <w:r w:rsidRPr="00B74333">
        <w:rPr>
          <w:rFonts w:eastAsia="Calibri" w:cstheme="minorHAnsi"/>
          <w:color w:val="000000"/>
          <w:sz w:val="24"/>
          <w:szCs w:val="24"/>
          <w:lang w:bidi="en-US"/>
        </w:rPr>
        <w:t>Title:</w:t>
      </w:r>
      <w:r w:rsidR="008B6BAE" w:rsidRPr="00B74333">
        <w:rPr>
          <w:rFonts w:eastAsia="Calibri" w:cstheme="minorHAnsi"/>
          <w:color w:val="000000"/>
          <w:sz w:val="24"/>
          <w:szCs w:val="24"/>
          <w:lang w:bidi="en-US"/>
        </w:rPr>
        <w:t xml:space="preserve"> [•]</w:t>
      </w:r>
      <w:r w:rsidRPr="00B74333">
        <w:rPr>
          <w:rFonts w:eastAsia="Calibri" w:cstheme="minorHAnsi"/>
          <w:color w:val="000000"/>
          <w:sz w:val="24"/>
          <w:szCs w:val="24"/>
          <w:lang w:bidi="en-US"/>
        </w:rPr>
        <w:br w:type="page"/>
      </w:r>
    </w:p>
    <w:p w14:paraId="156B3DAC" w14:textId="4D8F267B" w:rsidR="00192F18" w:rsidRPr="00B74333" w:rsidRDefault="00E94C11" w:rsidP="00192F18">
      <w:pPr>
        <w:keepNext/>
        <w:keepLines/>
        <w:widowControl w:val="0"/>
        <w:spacing w:after="100" w:line="240" w:lineRule="auto"/>
        <w:jc w:val="center"/>
        <w:outlineLvl w:val="3"/>
        <w:rPr>
          <w:rFonts w:eastAsia="Calibri" w:cstheme="minorHAnsi"/>
          <w:b/>
          <w:color w:val="000000"/>
          <w:sz w:val="24"/>
          <w:szCs w:val="24"/>
          <w:lang w:bidi="en-US"/>
        </w:rPr>
      </w:pPr>
      <w:bookmarkStart w:id="117" w:name="bookmark68"/>
      <w:r w:rsidRPr="00B74333">
        <w:rPr>
          <w:rFonts w:eastAsia="Calibri" w:cstheme="minorHAnsi"/>
          <w:b/>
          <w:color w:val="000000"/>
          <w:sz w:val="24"/>
          <w:szCs w:val="24"/>
          <w:lang w:bidi="en-US"/>
        </w:rPr>
        <w:lastRenderedPageBreak/>
        <w:t>APPENDIX</w:t>
      </w:r>
      <w:r w:rsidR="00192F18" w:rsidRPr="00B74333">
        <w:rPr>
          <w:rFonts w:eastAsia="Calibri" w:cstheme="minorHAnsi"/>
          <w:b/>
          <w:color w:val="000000"/>
          <w:sz w:val="24"/>
          <w:szCs w:val="24"/>
          <w:lang w:bidi="en-US"/>
        </w:rPr>
        <w:t xml:space="preserve"> I</w:t>
      </w:r>
      <w:bookmarkEnd w:id="117"/>
      <w:r w:rsidRPr="00B74333">
        <w:rPr>
          <w:rFonts w:eastAsia="Calibri" w:cstheme="minorHAnsi"/>
          <w:b/>
          <w:color w:val="000000"/>
          <w:sz w:val="24"/>
          <w:szCs w:val="24"/>
          <w:lang w:bidi="en-US"/>
        </w:rPr>
        <w:t xml:space="preserve"> - Transportation Confirmation</w:t>
      </w:r>
    </w:p>
    <w:p w14:paraId="1B5760A2" w14:textId="77777777" w:rsidR="00A74C3F" w:rsidRPr="00B74333" w:rsidRDefault="00A74C3F" w:rsidP="00A74C3F">
      <w:pPr>
        <w:widowControl w:val="0"/>
        <w:spacing w:after="0" w:line="252" w:lineRule="auto"/>
        <w:jc w:val="center"/>
        <w:rPr>
          <w:rFonts w:eastAsia="Calibri" w:cstheme="minorHAnsi"/>
          <w:b/>
          <w:color w:val="000000"/>
          <w:sz w:val="24"/>
          <w:szCs w:val="24"/>
          <w:lang w:bidi="en-US"/>
        </w:rPr>
      </w:pPr>
    </w:p>
    <w:p w14:paraId="124023B3" w14:textId="440FA009" w:rsidR="004643CE" w:rsidRPr="00B74333" w:rsidRDefault="00192F18" w:rsidP="003D6F83">
      <w:pPr>
        <w:widowControl w:val="0"/>
        <w:spacing w:after="0" w:line="252" w:lineRule="auto"/>
        <w:jc w:val="center"/>
        <w:rPr>
          <w:rFonts w:eastAsia="Calibri" w:cstheme="minorHAnsi"/>
          <w:b/>
          <w:color w:val="000000"/>
          <w:sz w:val="24"/>
          <w:szCs w:val="24"/>
          <w:lang w:bidi="en-US"/>
        </w:rPr>
      </w:pPr>
      <w:r w:rsidRPr="00B74333">
        <w:rPr>
          <w:rFonts w:eastAsia="Calibri" w:cstheme="minorHAnsi"/>
          <w:b/>
          <w:color w:val="000000"/>
          <w:sz w:val="24"/>
          <w:szCs w:val="24"/>
          <w:lang w:bidi="en-US"/>
        </w:rPr>
        <w:t xml:space="preserve">for the Allocated Capacity </w:t>
      </w:r>
    </w:p>
    <w:p w14:paraId="629F04F2" w14:textId="54DE1EA0" w:rsidR="00F060EB" w:rsidRPr="00B74333" w:rsidRDefault="00192F18" w:rsidP="00F060EB">
      <w:pPr>
        <w:widowControl w:val="0"/>
        <w:spacing w:line="252" w:lineRule="auto"/>
        <w:jc w:val="center"/>
        <w:rPr>
          <w:rFonts w:eastAsia="Calibri" w:cstheme="minorHAnsi"/>
          <w:color w:val="000000"/>
          <w:sz w:val="24"/>
          <w:szCs w:val="24"/>
          <w:lang w:bidi="en-US"/>
        </w:rPr>
      </w:pPr>
      <w:r w:rsidRPr="00B74333">
        <w:rPr>
          <w:rFonts w:eastAsia="Calibri" w:cstheme="minorHAnsi"/>
          <w:b/>
          <w:color w:val="000000"/>
          <w:sz w:val="24"/>
          <w:szCs w:val="24"/>
          <w:lang w:bidi="en-US"/>
        </w:rPr>
        <w:t xml:space="preserve">according to the </w:t>
      </w:r>
      <w:r w:rsidR="00597297" w:rsidRPr="00B74333">
        <w:rPr>
          <w:rFonts w:eastAsia="Calibri" w:cstheme="minorHAnsi"/>
          <w:b/>
          <w:color w:val="000000"/>
          <w:sz w:val="24"/>
          <w:szCs w:val="24"/>
          <w:lang w:bidi="en-US"/>
        </w:rPr>
        <w:t xml:space="preserve">Guidelines and the </w:t>
      </w:r>
      <w:r w:rsidRPr="00B74333">
        <w:rPr>
          <w:rFonts w:eastAsia="Calibri" w:cstheme="minorHAnsi"/>
          <w:b/>
          <w:color w:val="000000"/>
          <w:sz w:val="24"/>
          <w:szCs w:val="24"/>
          <w:lang w:bidi="en-US"/>
        </w:rPr>
        <w:t>Project Proposal</w:t>
      </w:r>
      <w:r w:rsidR="00597297" w:rsidRPr="00B74333">
        <w:rPr>
          <w:rFonts w:eastAsia="Calibri" w:cstheme="minorHAnsi"/>
          <w:b/>
          <w:color w:val="000000"/>
          <w:sz w:val="24"/>
          <w:szCs w:val="24"/>
          <w:lang w:bidi="en-US"/>
        </w:rPr>
        <w:t>s</w:t>
      </w:r>
    </w:p>
    <w:p w14:paraId="2D7D5321" w14:textId="02C1D12A" w:rsidR="00192F18" w:rsidRPr="00B74333" w:rsidRDefault="00192F18" w:rsidP="003D6F83">
      <w:pPr>
        <w:widowControl w:val="0"/>
        <w:spacing w:line="252" w:lineRule="auto"/>
        <w:jc w:val="center"/>
        <w:rPr>
          <w:rFonts w:eastAsia="Calibri" w:cstheme="minorHAnsi"/>
          <w:color w:val="000000"/>
          <w:sz w:val="24"/>
          <w:szCs w:val="24"/>
          <w:lang w:bidi="en-US"/>
        </w:rPr>
      </w:pPr>
    </w:p>
    <w:tbl>
      <w:tblPr>
        <w:tblOverlap w:val="never"/>
        <w:tblW w:w="8989" w:type="dxa"/>
        <w:jc w:val="center"/>
        <w:tblLayout w:type="fixed"/>
        <w:tblCellMar>
          <w:left w:w="10" w:type="dxa"/>
          <w:right w:w="10" w:type="dxa"/>
        </w:tblCellMar>
        <w:tblLook w:val="04A0" w:firstRow="1" w:lastRow="0" w:firstColumn="1" w:lastColumn="0" w:noHBand="0" w:noVBand="1"/>
      </w:tblPr>
      <w:tblGrid>
        <w:gridCol w:w="2835"/>
        <w:gridCol w:w="1618"/>
        <w:gridCol w:w="2268"/>
        <w:gridCol w:w="2268"/>
      </w:tblGrid>
      <w:tr w:rsidR="00B93316" w:rsidRPr="00B74333" w14:paraId="15A1B4C1" w14:textId="2A6F3BDC" w:rsidTr="00CB752D">
        <w:trPr>
          <w:trHeight w:hRule="exact" w:val="811"/>
          <w:jc w:val="center"/>
        </w:trPr>
        <w:tc>
          <w:tcPr>
            <w:tcW w:w="2835" w:type="dxa"/>
            <w:tcBorders>
              <w:top w:val="single" w:sz="4" w:space="0" w:color="auto"/>
              <w:left w:val="single" w:sz="4" w:space="0" w:color="auto"/>
            </w:tcBorders>
            <w:vAlign w:val="center"/>
          </w:tcPr>
          <w:p w14:paraId="444E3081" w14:textId="77777777" w:rsidR="00BE25E7" w:rsidRPr="00B74333" w:rsidRDefault="00BA077C" w:rsidP="00BE25E7">
            <w:pPr>
              <w:widowControl w:val="0"/>
              <w:spacing w:after="0" w:line="240" w:lineRule="auto"/>
              <w:jc w:val="center"/>
              <w:rPr>
                <w:rFonts w:eastAsia="Calibri" w:cstheme="minorHAnsi"/>
                <w:b/>
                <w:color w:val="000000"/>
                <w:sz w:val="24"/>
                <w:szCs w:val="24"/>
                <w:lang w:bidi="en-US"/>
              </w:rPr>
            </w:pPr>
            <w:r w:rsidRPr="00B74333">
              <w:rPr>
                <w:rFonts w:eastAsia="Calibri" w:cstheme="minorHAnsi"/>
                <w:b/>
                <w:color w:val="000000"/>
                <w:sz w:val="24"/>
                <w:szCs w:val="24"/>
                <w:lang w:bidi="en-US"/>
              </w:rPr>
              <w:t>Entry/Exit</w:t>
            </w:r>
          </w:p>
          <w:p w14:paraId="5B0B0FAB" w14:textId="4FD54894" w:rsidR="000C7038" w:rsidRPr="00B74333" w:rsidRDefault="00BA077C" w:rsidP="00BE25E7">
            <w:pPr>
              <w:widowControl w:val="0"/>
              <w:spacing w:after="0" w:line="240" w:lineRule="auto"/>
              <w:jc w:val="center"/>
              <w:rPr>
                <w:rFonts w:eastAsia="Calibri" w:cstheme="minorHAnsi"/>
                <w:b/>
                <w:color w:val="000000"/>
                <w:sz w:val="24"/>
                <w:szCs w:val="24"/>
                <w:lang w:val="el-GR" w:bidi="en-US"/>
              </w:rPr>
            </w:pPr>
            <w:r w:rsidRPr="00B74333">
              <w:rPr>
                <w:rFonts w:eastAsia="Calibri" w:cstheme="minorHAnsi"/>
                <w:b/>
                <w:color w:val="000000"/>
                <w:sz w:val="24"/>
                <w:szCs w:val="24"/>
                <w:lang w:bidi="en-US"/>
              </w:rPr>
              <w:t>Point</w:t>
            </w:r>
            <w:r w:rsidR="004643CE" w:rsidRPr="00B74333">
              <w:rPr>
                <w:rStyle w:val="FootnoteReference"/>
                <w:rFonts w:eastAsia="Calibri" w:cstheme="minorHAnsi"/>
                <w:b/>
                <w:color w:val="000000"/>
                <w:sz w:val="24"/>
                <w:szCs w:val="24"/>
                <w:lang w:bidi="en-US"/>
              </w:rPr>
              <w:footnoteReference w:id="26"/>
            </w:r>
          </w:p>
        </w:tc>
        <w:tc>
          <w:tcPr>
            <w:tcW w:w="1618" w:type="dxa"/>
            <w:tcBorders>
              <w:top w:val="single" w:sz="4" w:space="0" w:color="auto"/>
              <w:left w:val="single" w:sz="4" w:space="0" w:color="auto"/>
            </w:tcBorders>
            <w:shd w:val="clear" w:color="auto" w:fill="auto"/>
            <w:vAlign w:val="center"/>
          </w:tcPr>
          <w:p w14:paraId="3BEADA8D" w14:textId="3C5D1C14" w:rsidR="000C7038" w:rsidRPr="00B74333" w:rsidRDefault="000C7038" w:rsidP="00D653D0">
            <w:pPr>
              <w:widowControl w:val="0"/>
              <w:spacing w:after="0" w:line="240" w:lineRule="auto"/>
              <w:jc w:val="center"/>
              <w:rPr>
                <w:rFonts w:eastAsia="Calibri" w:cstheme="minorHAnsi"/>
                <w:color w:val="000000"/>
                <w:sz w:val="24"/>
                <w:szCs w:val="24"/>
                <w:lang w:eastAsia="el-GR" w:bidi="el-GR"/>
              </w:rPr>
            </w:pPr>
            <w:r w:rsidRPr="00B74333">
              <w:rPr>
                <w:rFonts w:eastAsia="Calibri" w:cstheme="minorHAnsi"/>
                <w:b/>
                <w:color w:val="000000"/>
                <w:sz w:val="24"/>
                <w:szCs w:val="24"/>
                <w:lang w:bidi="en-US"/>
              </w:rPr>
              <w:t>Gas Year</w:t>
            </w:r>
          </w:p>
        </w:tc>
        <w:tc>
          <w:tcPr>
            <w:tcW w:w="2268" w:type="dxa"/>
            <w:tcBorders>
              <w:top w:val="single" w:sz="4" w:space="0" w:color="auto"/>
              <w:left w:val="single" w:sz="4" w:space="0" w:color="auto"/>
              <w:right w:val="single" w:sz="4" w:space="0" w:color="auto"/>
            </w:tcBorders>
            <w:shd w:val="clear" w:color="auto" w:fill="auto"/>
            <w:vAlign w:val="center"/>
          </w:tcPr>
          <w:p w14:paraId="2BAD99EE" w14:textId="77777777" w:rsidR="00BE25E7" w:rsidRPr="00B74333" w:rsidRDefault="000C7038" w:rsidP="003D6F83">
            <w:pPr>
              <w:widowControl w:val="0"/>
              <w:spacing w:after="0" w:line="240" w:lineRule="auto"/>
              <w:jc w:val="center"/>
              <w:rPr>
                <w:rFonts w:eastAsia="Calibri" w:cstheme="minorHAnsi"/>
                <w:b/>
                <w:color w:val="000000"/>
                <w:sz w:val="24"/>
                <w:szCs w:val="24"/>
                <w:lang w:bidi="en-US"/>
              </w:rPr>
            </w:pPr>
            <w:r w:rsidRPr="00B74333">
              <w:rPr>
                <w:rFonts w:eastAsia="Calibri" w:cstheme="minorHAnsi"/>
                <w:b/>
                <w:color w:val="000000"/>
                <w:sz w:val="24"/>
                <w:szCs w:val="24"/>
                <w:lang w:bidi="en-US"/>
              </w:rPr>
              <w:t>Capacity</w:t>
            </w:r>
          </w:p>
          <w:p w14:paraId="3BCF2A97" w14:textId="6656A13F" w:rsidR="000C7038" w:rsidRPr="00B74333" w:rsidRDefault="000C7038" w:rsidP="003D6F83">
            <w:pPr>
              <w:widowControl w:val="0"/>
              <w:spacing w:after="0" w:line="240" w:lineRule="auto"/>
              <w:jc w:val="center"/>
              <w:rPr>
                <w:rFonts w:eastAsia="Calibri" w:cstheme="minorHAnsi"/>
                <w:b/>
                <w:color w:val="000000"/>
                <w:sz w:val="24"/>
                <w:szCs w:val="24"/>
                <w:lang w:bidi="en-US"/>
              </w:rPr>
            </w:pPr>
            <w:r w:rsidRPr="00B74333">
              <w:rPr>
                <w:rFonts w:eastAsia="Calibri" w:cstheme="minorHAnsi"/>
                <w:b/>
                <w:color w:val="000000"/>
                <w:sz w:val="24"/>
                <w:szCs w:val="24"/>
                <w:lang w:bidi="en-US"/>
              </w:rPr>
              <w:t>(kWh /Gas Day /Year)</w:t>
            </w:r>
          </w:p>
        </w:tc>
        <w:tc>
          <w:tcPr>
            <w:tcW w:w="2268" w:type="dxa"/>
            <w:tcBorders>
              <w:top w:val="single" w:sz="4" w:space="0" w:color="auto"/>
              <w:left w:val="single" w:sz="4" w:space="0" w:color="auto"/>
              <w:right w:val="single" w:sz="4" w:space="0" w:color="auto"/>
            </w:tcBorders>
            <w:vAlign w:val="center"/>
          </w:tcPr>
          <w:p w14:paraId="08583CA5" w14:textId="5F5F8AF7" w:rsidR="000C7038" w:rsidRPr="00B74333" w:rsidRDefault="000C7038" w:rsidP="003D6F83">
            <w:pPr>
              <w:widowControl w:val="0"/>
              <w:spacing w:after="0" w:line="240" w:lineRule="auto"/>
              <w:jc w:val="center"/>
              <w:rPr>
                <w:rFonts w:eastAsia="Calibri" w:cstheme="minorHAnsi"/>
                <w:b/>
                <w:color w:val="000000"/>
                <w:sz w:val="24"/>
                <w:szCs w:val="24"/>
                <w:lang w:bidi="en-US"/>
              </w:rPr>
            </w:pPr>
            <w:r w:rsidRPr="00B74333">
              <w:rPr>
                <w:rFonts w:eastAsia="Calibri" w:cstheme="minorHAnsi"/>
                <w:b/>
                <w:color w:val="000000"/>
                <w:sz w:val="24"/>
                <w:szCs w:val="24"/>
                <w:lang w:bidi="en-US"/>
              </w:rPr>
              <w:t>Coupled/Firm</w:t>
            </w:r>
            <w:r w:rsidR="00BE2A0C" w:rsidRPr="00B74333">
              <w:rPr>
                <w:rFonts w:eastAsia="Calibri" w:cstheme="minorHAnsi"/>
                <w:b/>
                <w:color w:val="000000"/>
                <w:sz w:val="24"/>
                <w:szCs w:val="24"/>
                <w:lang w:bidi="en-US"/>
              </w:rPr>
              <w:t xml:space="preserve"> Capacity</w:t>
            </w:r>
          </w:p>
        </w:tc>
      </w:tr>
      <w:tr w:rsidR="00B93316" w:rsidRPr="00B74333" w14:paraId="1EDDC5A9" w14:textId="41D29C42" w:rsidTr="00CB752D">
        <w:trPr>
          <w:trHeight w:hRule="exact" w:val="346"/>
          <w:jc w:val="center"/>
        </w:trPr>
        <w:tc>
          <w:tcPr>
            <w:tcW w:w="2835" w:type="dxa"/>
            <w:tcBorders>
              <w:top w:val="single" w:sz="4" w:space="0" w:color="auto"/>
              <w:left w:val="single" w:sz="4" w:space="0" w:color="auto"/>
            </w:tcBorders>
          </w:tcPr>
          <w:p w14:paraId="3B73E4CB"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77A0180B" w14:textId="21A02242"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53C74638" w14:textId="719D5161" w:rsidR="000C7038" w:rsidRPr="00B74333" w:rsidRDefault="000C7038" w:rsidP="00192F18">
            <w:pPr>
              <w:widowControl w:val="0"/>
              <w:spacing w:after="0" w:line="240" w:lineRule="auto"/>
              <w:rPr>
                <w:rFonts w:eastAsia="Courier New" w:cstheme="minorHAnsi"/>
                <w:color w:val="000000"/>
                <w:sz w:val="24"/>
                <w:szCs w:val="24"/>
                <w:lang w:val="el-GR" w:bidi="en-US"/>
              </w:rPr>
            </w:pPr>
          </w:p>
        </w:tc>
        <w:tc>
          <w:tcPr>
            <w:tcW w:w="2268" w:type="dxa"/>
            <w:tcBorders>
              <w:top w:val="single" w:sz="4" w:space="0" w:color="auto"/>
              <w:left w:val="single" w:sz="4" w:space="0" w:color="auto"/>
              <w:right w:val="single" w:sz="4" w:space="0" w:color="auto"/>
            </w:tcBorders>
          </w:tcPr>
          <w:p w14:paraId="47C15DAD" w14:textId="1C2424B1"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1F1DD576" w14:textId="4497D3D6" w:rsidTr="00CB752D">
        <w:trPr>
          <w:trHeight w:hRule="exact" w:val="346"/>
          <w:jc w:val="center"/>
        </w:trPr>
        <w:tc>
          <w:tcPr>
            <w:tcW w:w="2835" w:type="dxa"/>
            <w:tcBorders>
              <w:top w:val="single" w:sz="4" w:space="0" w:color="auto"/>
              <w:left w:val="single" w:sz="4" w:space="0" w:color="auto"/>
            </w:tcBorders>
          </w:tcPr>
          <w:p w14:paraId="527FFD56"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3CF4ACC7" w14:textId="037B498F"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1195139B" w14:textId="4CF8E523"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0FA67F8D" w14:textId="174F017D"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2B593D5A" w14:textId="4E09ED02" w:rsidTr="00CB752D">
        <w:trPr>
          <w:trHeight w:hRule="exact" w:val="350"/>
          <w:jc w:val="center"/>
        </w:trPr>
        <w:tc>
          <w:tcPr>
            <w:tcW w:w="2835" w:type="dxa"/>
            <w:tcBorders>
              <w:top w:val="single" w:sz="4" w:space="0" w:color="auto"/>
              <w:left w:val="single" w:sz="4" w:space="0" w:color="auto"/>
            </w:tcBorders>
          </w:tcPr>
          <w:p w14:paraId="3087E880"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5692D387" w14:textId="5B537DA0"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59C9BCB4" w14:textId="01169B61"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6DD64927" w14:textId="3DE1235E"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7EC7E143" w14:textId="33B69B21" w:rsidTr="00CB752D">
        <w:trPr>
          <w:trHeight w:hRule="exact" w:val="346"/>
          <w:jc w:val="center"/>
        </w:trPr>
        <w:tc>
          <w:tcPr>
            <w:tcW w:w="2835" w:type="dxa"/>
            <w:tcBorders>
              <w:top w:val="single" w:sz="4" w:space="0" w:color="auto"/>
              <w:left w:val="single" w:sz="4" w:space="0" w:color="auto"/>
            </w:tcBorders>
          </w:tcPr>
          <w:p w14:paraId="6142E21A"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1993781E" w14:textId="0D66A295"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4973E93F" w14:textId="2D075578"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7F6A0E16"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5526A2F8" w14:textId="14441F46" w:rsidTr="00CB752D">
        <w:trPr>
          <w:trHeight w:hRule="exact" w:val="346"/>
          <w:jc w:val="center"/>
        </w:trPr>
        <w:tc>
          <w:tcPr>
            <w:tcW w:w="2835" w:type="dxa"/>
            <w:tcBorders>
              <w:top w:val="single" w:sz="4" w:space="0" w:color="auto"/>
              <w:left w:val="single" w:sz="4" w:space="0" w:color="auto"/>
            </w:tcBorders>
          </w:tcPr>
          <w:p w14:paraId="4631ACF5"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5519BD33" w14:textId="3FA8B4ED"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577C4317"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14707D0D"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7FBE8AF7" w14:textId="1182F7DF" w:rsidTr="00CB752D">
        <w:trPr>
          <w:trHeight w:hRule="exact" w:val="350"/>
          <w:jc w:val="center"/>
        </w:trPr>
        <w:tc>
          <w:tcPr>
            <w:tcW w:w="2835" w:type="dxa"/>
            <w:tcBorders>
              <w:top w:val="single" w:sz="4" w:space="0" w:color="auto"/>
              <w:left w:val="single" w:sz="4" w:space="0" w:color="auto"/>
            </w:tcBorders>
          </w:tcPr>
          <w:p w14:paraId="6A128443"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4646E739" w14:textId="1201CC97"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29215B76"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686BEA45"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10ED57AB" w14:textId="22FF5077" w:rsidTr="00CB752D">
        <w:trPr>
          <w:trHeight w:hRule="exact" w:val="346"/>
          <w:jc w:val="center"/>
        </w:trPr>
        <w:tc>
          <w:tcPr>
            <w:tcW w:w="2835" w:type="dxa"/>
            <w:tcBorders>
              <w:top w:val="single" w:sz="4" w:space="0" w:color="auto"/>
              <w:left w:val="single" w:sz="4" w:space="0" w:color="auto"/>
            </w:tcBorders>
          </w:tcPr>
          <w:p w14:paraId="34D3FF3F"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4BE62269" w14:textId="4FA62B32"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56C2F993"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37BE9B68"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51F44EAA" w14:textId="241DE670" w:rsidTr="00CB752D">
        <w:trPr>
          <w:trHeight w:hRule="exact" w:val="346"/>
          <w:jc w:val="center"/>
        </w:trPr>
        <w:tc>
          <w:tcPr>
            <w:tcW w:w="2835" w:type="dxa"/>
            <w:tcBorders>
              <w:top w:val="single" w:sz="4" w:space="0" w:color="auto"/>
              <w:left w:val="single" w:sz="4" w:space="0" w:color="auto"/>
            </w:tcBorders>
          </w:tcPr>
          <w:p w14:paraId="5B7EE841"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7C48F7BC" w14:textId="03E74CEE"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1654E57B"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2A1E16C1"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01D3173D" w14:textId="2366E07D" w:rsidTr="00CB752D">
        <w:trPr>
          <w:trHeight w:hRule="exact" w:val="346"/>
          <w:jc w:val="center"/>
        </w:trPr>
        <w:tc>
          <w:tcPr>
            <w:tcW w:w="2835" w:type="dxa"/>
            <w:tcBorders>
              <w:top w:val="single" w:sz="4" w:space="0" w:color="auto"/>
              <w:left w:val="single" w:sz="4" w:space="0" w:color="auto"/>
            </w:tcBorders>
          </w:tcPr>
          <w:p w14:paraId="0347608E"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247AA554" w14:textId="0961AD70"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10254BA1"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3CBED6FB"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37B084FC" w14:textId="24D373F0" w:rsidTr="00CB752D">
        <w:trPr>
          <w:trHeight w:hRule="exact" w:val="350"/>
          <w:jc w:val="center"/>
        </w:trPr>
        <w:tc>
          <w:tcPr>
            <w:tcW w:w="2835" w:type="dxa"/>
            <w:tcBorders>
              <w:top w:val="single" w:sz="4" w:space="0" w:color="auto"/>
              <w:left w:val="single" w:sz="4" w:space="0" w:color="auto"/>
            </w:tcBorders>
          </w:tcPr>
          <w:p w14:paraId="1E071460"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1A2F3809" w14:textId="40086B3F"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20855F94"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5F137542"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634E896B" w14:textId="27C84DA8" w:rsidTr="00CB752D">
        <w:trPr>
          <w:trHeight w:hRule="exact" w:val="341"/>
          <w:jc w:val="center"/>
        </w:trPr>
        <w:tc>
          <w:tcPr>
            <w:tcW w:w="2835" w:type="dxa"/>
            <w:tcBorders>
              <w:top w:val="single" w:sz="4" w:space="0" w:color="auto"/>
              <w:left w:val="single" w:sz="4" w:space="0" w:color="auto"/>
            </w:tcBorders>
          </w:tcPr>
          <w:p w14:paraId="29277163"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1618" w:type="dxa"/>
            <w:tcBorders>
              <w:top w:val="single" w:sz="4" w:space="0" w:color="auto"/>
              <w:left w:val="single" w:sz="4" w:space="0" w:color="auto"/>
            </w:tcBorders>
            <w:shd w:val="clear" w:color="auto" w:fill="auto"/>
            <w:vAlign w:val="center"/>
          </w:tcPr>
          <w:p w14:paraId="09EA97AF" w14:textId="75431271" w:rsidR="000C7038" w:rsidRPr="00B74333" w:rsidRDefault="000C7038" w:rsidP="003D6F83">
            <w:pPr>
              <w:widowControl w:val="0"/>
              <w:spacing w:after="0" w:line="240" w:lineRule="auto"/>
              <w:jc w:val="center"/>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shd w:val="clear" w:color="auto" w:fill="auto"/>
          </w:tcPr>
          <w:p w14:paraId="07C9C9C7"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c>
          <w:tcPr>
            <w:tcW w:w="2268" w:type="dxa"/>
            <w:tcBorders>
              <w:top w:val="single" w:sz="4" w:space="0" w:color="auto"/>
              <w:left w:val="single" w:sz="4" w:space="0" w:color="auto"/>
              <w:right w:val="single" w:sz="4" w:space="0" w:color="auto"/>
            </w:tcBorders>
          </w:tcPr>
          <w:p w14:paraId="4A57E233" w14:textId="77777777" w:rsidR="000C7038" w:rsidRPr="00B74333" w:rsidRDefault="000C7038" w:rsidP="00192F18">
            <w:pPr>
              <w:widowControl w:val="0"/>
              <w:spacing w:after="0" w:line="240" w:lineRule="auto"/>
              <w:rPr>
                <w:rFonts w:eastAsia="Courier New" w:cstheme="minorHAnsi"/>
                <w:color w:val="000000"/>
                <w:sz w:val="24"/>
                <w:szCs w:val="24"/>
                <w:lang w:bidi="en-US"/>
              </w:rPr>
            </w:pPr>
          </w:p>
        </w:tc>
      </w:tr>
      <w:tr w:rsidR="00B93316" w:rsidRPr="00B74333" w14:paraId="042135CD" w14:textId="488C62A9" w:rsidTr="00CB752D">
        <w:trPr>
          <w:trHeight w:hRule="exact" w:val="350"/>
          <w:jc w:val="center"/>
        </w:trPr>
        <w:tc>
          <w:tcPr>
            <w:tcW w:w="2835" w:type="dxa"/>
            <w:tcBorders>
              <w:top w:val="single" w:sz="4" w:space="0" w:color="auto"/>
              <w:left w:val="single" w:sz="4" w:space="0" w:color="auto"/>
            </w:tcBorders>
          </w:tcPr>
          <w:p w14:paraId="4A97BE6D"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56FABB91" w14:textId="7980505B"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6BFA8084"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4CB1C6A2"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78AEF67B" w14:textId="255E7E27" w:rsidTr="00CB752D">
        <w:trPr>
          <w:trHeight w:hRule="exact" w:val="346"/>
          <w:jc w:val="center"/>
        </w:trPr>
        <w:tc>
          <w:tcPr>
            <w:tcW w:w="2835" w:type="dxa"/>
            <w:tcBorders>
              <w:top w:val="single" w:sz="4" w:space="0" w:color="auto"/>
              <w:left w:val="single" w:sz="4" w:space="0" w:color="auto"/>
            </w:tcBorders>
          </w:tcPr>
          <w:p w14:paraId="3CCAF761"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0919B80B" w14:textId="1ED3C220"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3AB624CF"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351A5FBB"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406C3433" w14:textId="6283A1F1" w:rsidTr="00CB752D">
        <w:trPr>
          <w:trHeight w:hRule="exact" w:val="350"/>
          <w:jc w:val="center"/>
        </w:trPr>
        <w:tc>
          <w:tcPr>
            <w:tcW w:w="2835" w:type="dxa"/>
            <w:tcBorders>
              <w:top w:val="single" w:sz="4" w:space="0" w:color="auto"/>
              <w:left w:val="single" w:sz="4" w:space="0" w:color="auto"/>
            </w:tcBorders>
          </w:tcPr>
          <w:p w14:paraId="740FC96F"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6B32D25A" w14:textId="55533471"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17BCC8B3"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6EE882C6"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7799BB87" w14:textId="3353883A" w:rsidTr="00CB752D">
        <w:trPr>
          <w:trHeight w:hRule="exact" w:val="346"/>
          <w:jc w:val="center"/>
        </w:trPr>
        <w:tc>
          <w:tcPr>
            <w:tcW w:w="2835" w:type="dxa"/>
            <w:tcBorders>
              <w:top w:val="single" w:sz="4" w:space="0" w:color="auto"/>
              <w:left w:val="single" w:sz="4" w:space="0" w:color="auto"/>
            </w:tcBorders>
          </w:tcPr>
          <w:p w14:paraId="69D72250"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121B52B6" w14:textId="720FF92D"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3D40BCDA"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269DEAF8"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5B5D4E74" w14:textId="417ACCA8" w:rsidTr="00CB752D">
        <w:trPr>
          <w:trHeight w:hRule="exact" w:val="346"/>
          <w:jc w:val="center"/>
        </w:trPr>
        <w:tc>
          <w:tcPr>
            <w:tcW w:w="2835" w:type="dxa"/>
            <w:tcBorders>
              <w:top w:val="single" w:sz="4" w:space="0" w:color="auto"/>
              <w:left w:val="single" w:sz="4" w:space="0" w:color="auto"/>
            </w:tcBorders>
          </w:tcPr>
          <w:p w14:paraId="1DADF139"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5FBC1D0E" w14:textId="1894C09C"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4EB39B65"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1F0A30CF"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23BA2D2B" w14:textId="73DD67AB" w:rsidTr="00CB752D">
        <w:trPr>
          <w:trHeight w:hRule="exact" w:val="350"/>
          <w:jc w:val="center"/>
        </w:trPr>
        <w:tc>
          <w:tcPr>
            <w:tcW w:w="2835" w:type="dxa"/>
            <w:tcBorders>
              <w:top w:val="single" w:sz="4" w:space="0" w:color="auto"/>
              <w:left w:val="single" w:sz="4" w:space="0" w:color="auto"/>
            </w:tcBorders>
          </w:tcPr>
          <w:p w14:paraId="7F2036E3"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25978D09" w14:textId="5B4B9F04"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420A6464"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0FDEFA65"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431F2E8D" w14:textId="24B1E84A" w:rsidTr="00CB752D">
        <w:trPr>
          <w:trHeight w:hRule="exact" w:val="346"/>
          <w:jc w:val="center"/>
        </w:trPr>
        <w:tc>
          <w:tcPr>
            <w:tcW w:w="2835" w:type="dxa"/>
            <w:tcBorders>
              <w:top w:val="single" w:sz="4" w:space="0" w:color="auto"/>
              <w:left w:val="single" w:sz="4" w:space="0" w:color="auto"/>
            </w:tcBorders>
          </w:tcPr>
          <w:p w14:paraId="67EC5DA9"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3863801F" w14:textId="5A72246D"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5C36F343"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58292145"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52D91C9F" w14:textId="2778CFC0" w:rsidTr="00CB752D">
        <w:trPr>
          <w:trHeight w:hRule="exact" w:val="346"/>
          <w:jc w:val="center"/>
        </w:trPr>
        <w:tc>
          <w:tcPr>
            <w:tcW w:w="2835" w:type="dxa"/>
            <w:tcBorders>
              <w:top w:val="single" w:sz="4" w:space="0" w:color="auto"/>
              <w:left w:val="single" w:sz="4" w:space="0" w:color="auto"/>
            </w:tcBorders>
          </w:tcPr>
          <w:p w14:paraId="3D42C028"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tcBorders>
            <w:shd w:val="clear" w:color="auto" w:fill="auto"/>
            <w:vAlign w:val="center"/>
          </w:tcPr>
          <w:p w14:paraId="1E49AF91" w14:textId="4A1FB3D5"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shd w:val="clear" w:color="auto" w:fill="auto"/>
          </w:tcPr>
          <w:p w14:paraId="0BE10713"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right w:val="single" w:sz="4" w:space="0" w:color="auto"/>
            </w:tcBorders>
          </w:tcPr>
          <w:p w14:paraId="60C6BA3C"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r w:rsidR="00B93316" w:rsidRPr="00B74333" w14:paraId="467F66C3" w14:textId="05287EA7" w:rsidTr="00CB752D">
        <w:trPr>
          <w:trHeight w:hRule="exact" w:val="350"/>
          <w:jc w:val="center"/>
        </w:trPr>
        <w:tc>
          <w:tcPr>
            <w:tcW w:w="2835" w:type="dxa"/>
            <w:tcBorders>
              <w:top w:val="single" w:sz="4" w:space="0" w:color="auto"/>
              <w:left w:val="single" w:sz="4" w:space="0" w:color="auto"/>
              <w:bottom w:val="single" w:sz="4" w:space="0" w:color="auto"/>
            </w:tcBorders>
          </w:tcPr>
          <w:p w14:paraId="3BE01E02"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1618" w:type="dxa"/>
            <w:tcBorders>
              <w:top w:val="single" w:sz="4" w:space="0" w:color="auto"/>
              <w:left w:val="single" w:sz="4" w:space="0" w:color="auto"/>
              <w:bottom w:val="single" w:sz="4" w:space="0" w:color="auto"/>
            </w:tcBorders>
            <w:shd w:val="clear" w:color="auto" w:fill="auto"/>
            <w:vAlign w:val="center"/>
          </w:tcPr>
          <w:p w14:paraId="6E2BECDB" w14:textId="1730880D" w:rsidR="000C7038" w:rsidRPr="00B74333" w:rsidRDefault="000C7038" w:rsidP="003D6F83">
            <w:pPr>
              <w:widowControl w:val="0"/>
              <w:spacing w:after="0" w:line="240" w:lineRule="auto"/>
              <w:jc w:val="center"/>
              <w:rPr>
                <w:rFonts w:eastAsia="Courier New" w:cstheme="minorHAnsi"/>
                <w:color w:val="000000"/>
                <w:sz w:val="10"/>
                <w:szCs w:val="10"/>
                <w:lang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2A7962"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c>
          <w:tcPr>
            <w:tcW w:w="2268" w:type="dxa"/>
            <w:tcBorders>
              <w:top w:val="single" w:sz="4" w:space="0" w:color="auto"/>
              <w:left w:val="single" w:sz="4" w:space="0" w:color="auto"/>
              <w:bottom w:val="single" w:sz="4" w:space="0" w:color="auto"/>
              <w:right w:val="single" w:sz="4" w:space="0" w:color="auto"/>
            </w:tcBorders>
          </w:tcPr>
          <w:p w14:paraId="7D8F920C" w14:textId="77777777" w:rsidR="000C7038" w:rsidRPr="00B74333" w:rsidRDefault="000C7038" w:rsidP="00192F18">
            <w:pPr>
              <w:widowControl w:val="0"/>
              <w:spacing w:after="0" w:line="240" w:lineRule="auto"/>
              <w:rPr>
                <w:rFonts w:eastAsia="Courier New" w:cstheme="minorHAnsi"/>
                <w:color w:val="000000"/>
                <w:sz w:val="10"/>
                <w:szCs w:val="10"/>
                <w:lang w:bidi="en-US"/>
              </w:rPr>
            </w:pPr>
          </w:p>
        </w:tc>
      </w:tr>
    </w:tbl>
    <w:p w14:paraId="20962F98" w14:textId="77777777" w:rsidR="00192F18" w:rsidRPr="00B74333" w:rsidRDefault="00192F18" w:rsidP="00192F18">
      <w:pPr>
        <w:widowControl w:val="0"/>
        <w:spacing w:after="0" w:line="240" w:lineRule="auto"/>
        <w:rPr>
          <w:rFonts w:eastAsia="Courier New" w:cstheme="minorHAnsi"/>
          <w:color w:val="000000"/>
          <w:sz w:val="24"/>
          <w:szCs w:val="24"/>
          <w:lang w:bidi="en-US"/>
        </w:rPr>
        <w:sectPr w:rsidR="00192F18" w:rsidRPr="00B74333" w:rsidSect="00523FE9">
          <w:headerReference w:type="default" r:id="rId20"/>
          <w:footerReference w:type="default" r:id="rId21"/>
          <w:headerReference w:type="first" r:id="rId22"/>
          <w:footerReference w:type="first" r:id="rId23"/>
          <w:pgSz w:w="11900" w:h="16840"/>
          <w:pgMar w:top="1418" w:right="1410" w:bottom="1560" w:left="1428" w:header="567" w:footer="672" w:gutter="0"/>
          <w:cols w:space="720"/>
          <w:noEndnote/>
          <w:titlePg/>
          <w:docGrid w:linePitch="360"/>
        </w:sectPr>
      </w:pPr>
    </w:p>
    <w:p w14:paraId="3CAC8B26" w14:textId="6DC4F03E" w:rsidR="00192F18" w:rsidRPr="00B74333" w:rsidRDefault="00E94C11" w:rsidP="001A64A1">
      <w:pPr>
        <w:keepNext/>
        <w:keepLines/>
        <w:widowControl w:val="0"/>
        <w:spacing w:after="660" w:line="240" w:lineRule="auto"/>
        <w:jc w:val="center"/>
        <w:outlineLvl w:val="3"/>
        <w:rPr>
          <w:rFonts w:eastAsia="Calibri" w:cstheme="minorHAnsi"/>
          <w:b/>
          <w:color w:val="000000"/>
          <w:sz w:val="24"/>
          <w:szCs w:val="24"/>
          <w:lang w:bidi="en-US"/>
        </w:rPr>
      </w:pPr>
      <w:r w:rsidRPr="00B74333">
        <w:rPr>
          <w:rFonts w:eastAsia="Calibri" w:cstheme="minorHAnsi"/>
          <w:b/>
          <w:color w:val="000000"/>
          <w:sz w:val="24"/>
          <w:szCs w:val="24"/>
          <w:lang w:bidi="en-US"/>
        </w:rPr>
        <w:lastRenderedPageBreak/>
        <w:t xml:space="preserve">APPENDIX </w:t>
      </w:r>
      <w:r w:rsidR="00192F18" w:rsidRPr="00B74333">
        <w:rPr>
          <w:rFonts w:eastAsia="Calibri" w:cstheme="minorHAnsi"/>
          <w:b/>
          <w:color w:val="000000"/>
          <w:sz w:val="24"/>
          <w:szCs w:val="24"/>
          <w:lang w:bidi="en-US"/>
        </w:rPr>
        <w:t>II</w:t>
      </w:r>
      <w:r w:rsidRPr="00B74333">
        <w:rPr>
          <w:rFonts w:cstheme="minorHAnsi"/>
        </w:rPr>
        <w:t xml:space="preserve"> - </w:t>
      </w:r>
      <w:r w:rsidRPr="00B74333">
        <w:rPr>
          <w:rFonts w:eastAsia="Calibri" w:cstheme="minorHAnsi"/>
          <w:b/>
          <w:color w:val="000000"/>
          <w:sz w:val="24"/>
          <w:szCs w:val="24"/>
          <w:lang w:bidi="en-US"/>
        </w:rPr>
        <w:t xml:space="preserve">Form of Letter of </w:t>
      </w:r>
      <w:r w:rsidR="00AB60AE" w:rsidRPr="00B74333">
        <w:rPr>
          <w:rFonts w:eastAsia="Calibri" w:cstheme="minorHAnsi"/>
          <w:b/>
          <w:color w:val="000000"/>
          <w:sz w:val="24"/>
          <w:szCs w:val="24"/>
          <w:lang w:bidi="en-US"/>
        </w:rPr>
        <w:t>GTA Guarantee</w:t>
      </w:r>
    </w:p>
    <w:p w14:paraId="6A602759" w14:textId="77777777" w:rsidR="00192F18" w:rsidRPr="00B74333" w:rsidRDefault="00192F18" w:rsidP="00192F18">
      <w:pPr>
        <w:widowControl w:val="0"/>
        <w:tabs>
          <w:tab w:val="right" w:leader="dot" w:pos="1368"/>
          <w:tab w:val="left" w:leader="dot" w:pos="1896"/>
          <w:tab w:val="left" w:leader="dot" w:pos="2569"/>
        </w:tabs>
        <w:spacing w:line="233" w:lineRule="auto"/>
        <w:jc w:val="right"/>
        <w:rPr>
          <w:rFonts w:eastAsia="Calibri" w:cstheme="minorHAnsi"/>
          <w:color w:val="000000"/>
          <w:sz w:val="24"/>
          <w:szCs w:val="24"/>
          <w:lang w:bidi="en-US"/>
        </w:rPr>
      </w:pPr>
      <w:r w:rsidRPr="00B74333">
        <w:rPr>
          <w:rFonts w:eastAsia="Calibri" w:cstheme="minorHAnsi"/>
          <w:color w:val="000000"/>
          <w:sz w:val="24"/>
          <w:szCs w:val="24"/>
          <w:lang w:bidi="en-US"/>
        </w:rPr>
        <w:t xml:space="preserve">Athens, </w:t>
      </w:r>
      <w:r w:rsidRPr="00B74333">
        <w:rPr>
          <w:rFonts w:eastAsia="Calibri" w:cstheme="minorHAnsi"/>
          <w:color w:val="000000"/>
          <w:sz w:val="24"/>
          <w:szCs w:val="24"/>
          <w:lang w:bidi="en-US"/>
        </w:rPr>
        <w:tab/>
        <w:t>/</w:t>
      </w:r>
      <w:r w:rsidRPr="00B74333">
        <w:rPr>
          <w:rFonts w:eastAsia="Calibri" w:cstheme="minorHAnsi"/>
          <w:color w:val="000000"/>
          <w:sz w:val="24"/>
          <w:szCs w:val="24"/>
          <w:lang w:bidi="en-US"/>
        </w:rPr>
        <w:tab/>
        <w:t xml:space="preserve">/ </w:t>
      </w:r>
      <w:r w:rsidRPr="00B74333">
        <w:rPr>
          <w:rFonts w:eastAsia="Calibri" w:cstheme="minorHAnsi"/>
          <w:color w:val="000000"/>
          <w:sz w:val="24"/>
          <w:szCs w:val="24"/>
          <w:lang w:bidi="en-US"/>
        </w:rPr>
        <w:tab/>
      </w:r>
    </w:p>
    <w:p w14:paraId="05D26930" w14:textId="77777777" w:rsidR="00192F18" w:rsidRPr="00B74333" w:rsidRDefault="00192F18" w:rsidP="00192F18">
      <w:pPr>
        <w:widowControl w:val="0"/>
        <w:spacing w:line="254" w:lineRule="auto"/>
        <w:rPr>
          <w:rFonts w:eastAsia="Calibri" w:cstheme="minorHAnsi"/>
          <w:color w:val="000000"/>
          <w:lang w:bidi="en-US"/>
        </w:rPr>
      </w:pPr>
      <w:r w:rsidRPr="00B74333">
        <w:rPr>
          <w:rFonts w:eastAsia="Calibri" w:cstheme="minorHAnsi"/>
          <w:color w:val="000000"/>
          <w:lang w:bidi="en-US"/>
        </w:rPr>
        <w:t>From:</w:t>
      </w:r>
    </w:p>
    <w:p w14:paraId="741A0078" w14:textId="77777777" w:rsidR="00192F18" w:rsidRPr="00B74333" w:rsidRDefault="00192F18" w:rsidP="00192F18">
      <w:pPr>
        <w:widowControl w:val="0"/>
        <w:spacing w:line="254" w:lineRule="auto"/>
        <w:rPr>
          <w:rFonts w:eastAsia="Calibri" w:cstheme="minorHAnsi"/>
          <w:color w:val="000000"/>
          <w:lang w:bidi="en-US"/>
        </w:rPr>
      </w:pPr>
      <w:r w:rsidRPr="00B74333">
        <w:rPr>
          <w:rFonts w:eastAsia="Calibri" w:cstheme="minorHAnsi"/>
          <w:i/>
          <w:color w:val="000000"/>
          <w:lang w:bidi="en-US"/>
        </w:rPr>
        <w:t>[Bank name / address]</w:t>
      </w:r>
    </w:p>
    <w:p w14:paraId="2490F7FA" w14:textId="77777777" w:rsidR="00192F18" w:rsidRPr="00B74333" w:rsidRDefault="00192F18" w:rsidP="00192F18">
      <w:pPr>
        <w:widowControl w:val="0"/>
        <w:spacing w:line="254" w:lineRule="auto"/>
        <w:jc w:val="both"/>
        <w:rPr>
          <w:rFonts w:eastAsia="Calibri" w:cstheme="minorHAnsi"/>
          <w:color w:val="000000"/>
          <w:lang w:bidi="en-US"/>
        </w:rPr>
      </w:pPr>
      <w:r w:rsidRPr="00B74333">
        <w:rPr>
          <w:rFonts w:eastAsia="Calibri" w:cstheme="minorHAnsi"/>
          <w:color w:val="000000"/>
          <w:lang w:bidi="en-US"/>
        </w:rPr>
        <w:t>To:</w:t>
      </w:r>
    </w:p>
    <w:p w14:paraId="6885F960" w14:textId="77777777" w:rsidR="00192F18" w:rsidRPr="00B74333" w:rsidRDefault="00192F18" w:rsidP="00192F18">
      <w:pPr>
        <w:widowControl w:val="0"/>
        <w:spacing w:line="254" w:lineRule="auto"/>
        <w:jc w:val="both"/>
        <w:rPr>
          <w:rFonts w:eastAsia="Calibri" w:cstheme="minorHAnsi"/>
          <w:color w:val="000000"/>
          <w:lang w:bidi="en-US"/>
        </w:rPr>
      </w:pPr>
      <w:r w:rsidRPr="00B74333">
        <w:rPr>
          <w:rFonts w:eastAsia="Calibri" w:cstheme="minorHAnsi"/>
          <w:color w:val="000000"/>
          <w:lang w:bidi="en-US"/>
        </w:rPr>
        <w:t>The HELLENIC GAS TRANSMISSION SYSTEM OPERATOR SOCIETE ANONYME</w:t>
      </w:r>
    </w:p>
    <w:p w14:paraId="76BCC39E" w14:textId="77777777" w:rsidR="00192F18" w:rsidRPr="00B74333" w:rsidRDefault="00192F18" w:rsidP="00192F18">
      <w:pPr>
        <w:widowControl w:val="0"/>
        <w:tabs>
          <w:tab w:val="left" w:leader="dot" w:pos="3275"/>
        </w:tabs>
        <w:spacing w:line="254" w:lineRule="auto"/>
        <w:rPr>
          <w:rFonts w:eastAsia="Calibri" w:cstheme="minorHAnsi"/>
          <w:color w:val="000000"/>
          <w:lang w:bidi="en-US"/>
        </w:rPr>
      </w:pPr>
      <w:r w:rsidRPr="00B74333">
        <w:rPr>
          <w:rFonts w:eastAsia="Calibri" w:cstheme="minorHAnsi"/>
          <w:color w:val="000000"/>
          <w:lang w:bidi="en-US"/>
        </w:rPr>
        <w:t xml:space="preserve">NUMBER </w:t>
      </w:r>
      <w:r w:rsidRPr="00B74333">
        <w:rPr>
          <w:rFonts w:eastAsia="Calibri" w:cstheme="minorHAnsi"/>
          <w:color w:val="000000"/>
          <w:lang w:bidi="en-US"/>
        </w:rPr>
        <w:tab/>
      </w:r>
    </w:p>
    <w:p w14:paraId="42A98C3E" w14:textId="77777777" w:rsidR="00192F18" w:rsidRPr="00B74333" w:rsidRDefault="00192F18" w:rsidP="00192F18">
      <w:pPr>
        <w:widowControl w:val="0"/>
        <w:tabs>
          <w:tab w:val="left" w:leader="dot" w:pos="3069"/>
        </w:tabs>
        <w:spacing w:after="600" w:line="254" w:lineRule="auto"/>
        <w:rPr>
          <w:rFonts w:eastAsia="Calibri" w:cstheme="minorHAnsi"/>
          <w:color w:val="000000"/>
          <w:lang w:bidi="en-US"/>
        </w:rPr>
      </w:pPr>
      <w:r w:rsidRPr="00B74333">
        <w:rPr>
          <w:rFonts w:eastAsia="Calibri" w:cstheme="minorHAnsi"/>
          <w:color w:val="000000"/>
          <w:lang w:bidi="en-US"/>
        </w:rPr>
        <w:t>EURO: #</w:t>
      </w:r>
      <w:r w:rsidRPr="00B74333">
        <w:rPr>
          <w:rFonts w:eastAsia="Calibri" w:cstheme="minorHAnsi"/>
          <w:color w:val="000000"/>
          <w:lang w:bidi="en-US"/>
        </w:rPr>
        <w:tab/>
        <w:t>€</w:t>
      </w:r>
    </w:p>
    <w:p w14:paraId="7D760C7F" w14:textId="77777777" w:rsidR="00192F18" w:rsidRPr="00B74333" w:rsidRDefault="00192F18" w:rsidP="00192F18">
      <w:pPr>
        <w:widowControl w:val="0"/>
        <w:spacing w:line="254" w:lineRule="auto"/>
        <w:jc w:val="both"/>
        <w:rPr>
          <w:rFonts w:eastAsia="Calibri" w:cstheme="minorHAnsi"/>
          <w:color w:val="000000"/>
          <w:lang w:bidi="en-US"/>
        </w:rPr>
      </w:pPr>
      <w:r w:rsidRPr="00B74333">
        <w:rPr>
          <w:rFonts w:eastAsia="Calibri" w:cstheme="minorHAnsi"/>
          <w:color w:val="000000"/>
          <w:lang w:bidi="en-US"/>
        </w:rPr>
        <w:t>Dear Sirs or Madam,</w:t>
      </w:r>
    </w:p>
    <w:p w14:paraId="54B1812E" w14:textId="3461A643" w:rsidR="00192F18" w:rsidRPr="00B74333" w:rsidRDefault="00192F18" w:rsidP="00222097">
      <w:pPr>
        <w:widowControl w:val="0"/>
        <w:tabs>
          <w:tab w:val="right" w:leader="dot" w:pos="2421"/>
          <w:tab w:val="left" w:pos="2585"/>
        </w:tabs>
        <w:spacing w:after="0" w:line="254" w:lineRule="auto"/>
        <w:jc w:val="both"/>
        <w:rPr>
          <w:rFonts w:eastAsia="Calibri" w:cstheme="minorHAnsi"/>
          <w:color w:val="000000"/>
          <w:lang w:bidi="en-US"/>
        </w:rPr>
      </w:pPr>
      <w:r w:rsidRPr="00B74333">
        <w:rPr>
          <w:rFonts w:eastAsia="Calibri" w:cstheme="minorHAnsi"/>
          <w:color w:val="000000"/>
          <w:lang w:bidi="en-US"/>
        </w:rPr>
        <w:t xml:space="preserve">We refer to the Gas Transportation Agreement [insert Gas Transportation Agreement number] (hereinafter the </w:t>
      </w:r>
      <w:r w:rsidR="00F97B25" w:rsidRPr="00B74333">
        <w:rPr>
          <w:rFonts w:eastAsia="Calibri" w:cstheme="minorHAnsi"/>
          <w:color w:val="000000"/>
          <w:lang w:bidi="en-US"/>
        </w:rPr>
        <w:t>“</w:t>
      </w:r>
      <w:r w:rsidRPr="00B74333">
        <w:rPr>
          <w:rFonts w:eastAsia="Calibri" w:cstheme="minorHAnsi"/>
          <w:color w:val="000000"/>
          <w:lang w:bidi="en-US"/>
        </w:rPr>
        <w:t>Agreement</w:t>
      </w:r>
      <w:r w:rsidR="00F97B25" w:rsidRPr="00B74333">
        <w:rPr>
          <w:rFonts w:eastAsia="Calibri" w:cstheme="minorHAnsi"/>
          <w:color w:val="000000"/>
          <w:lang w:bidi="en-US"/>
        </w:rPr>
        <w:t>”</w:t>
      </w:r>
      <w:r w:rsidRPr="00B74333">
        <w:rPr>
          <w:rFonts w:eastAsia="Calibri" w:cstheme="minorHAnsi"/>
          <w:color w:val="000000"/>
          <w:lang w:bidi="en-US"/>
        </w:rPr>
        <w:t xml:space="preserve">) and made between </w:t>
      </w:r>
      <w:r w:rsidRPr="00B74333">
        <w:rPr>
          <w:rFonts w:eastAsia="Calibri" w:cstheme="minorHAnsi"/>
          <w:i/>
          <w:color w:val="000000"/>
          <w:lang w:bidi="en-US"/>
        </w:rPr>
        <w:t>[“Company’s name”]</w:t>
      </w:r>
      <w:r w:rsidRPr="00B74333">
        <w:rPr>
          <w:rFonts w:eastAsia="Calibri" w:cstheme="minorHAnsi"/>
          <w:color w:val="000000"/>
          <w:lang w:bidi="en-US"/>
        </w:rPr>
        <w:t xml:space="preserve"> with the distinctive title </w:t>
      </w:r>
      <w:r w:rsidRPr="00B74333">
        <w:rPr>
          <w:rFonts w:eastAsia="Calibri" w:cstheme="minorHAnsi"/>
          <w:i/>
          <w:color w:val="000000"/>
          <w:lang w:bidi="en-US"/>
        </w:rPr>
        <w:t>[“</w:t>
      </w:r>
      <w:r w:rsidRPr="00B74333">
        <w:rPr>
          <w:rFonts w:eastAsia="Calibri" w:cstheme="minorHAnsi"/>
          <w:i/>
          <w:color w:val="000000"/>
          <w:lang w:bidi="en-US"/>
        </w:rPr>
        <w:tab/>
        <w:t>”]</w:t>
      </w:r>
      <w:r w:rsidRPr="00B74333">
        <w:rPr>
          <w:rFonts w:eastAsia="Calibri" w:cstheme="minorHAnsi"/>
          <w:color w:val="000000"/>
          <w:lang w:bidi="en-US"/>
        </w:rPr>
        <w:tab/>
        <w:t xml:space="preserve">(hereinafter the </w:t>
      </w:r>
      <w:r w:rsidR="00F97B25" w:rsidRPr="00B74333">
        <w:rPr>
          <w:rFonts w:eastAsia="Calibri" w:cstheme="minorHAnsi"/>
          <w:color w:val="000000"/>
          <w:lang w:bidi="en-US"/>
        </w:rPr>
        <w:t>“</w:t>
      </w:r>
      <w:r w:rsidRPr="00B74333">
        <w:rPr>
          <w:rFonts w:eastAsia="Calibri" w:cstheme="minorHAnsi"/>
          <w:color w:val="000000"/>
          <w:lang w:bidi="en-US"/>
        </w:rPr>
        <w:t>Company</w:t>
      </w:r>
      <w:r w:rsidR="00F97B25" w:rsidRPr="00B74333">
        <w:rPr>
          <w:rFonts w:eastAsia="Calibri" w:cstheme="minorHAnsi"/>
          <w:color w:val="000000"/>
          <w:lang w:bidi="en-US"/>
        </w:rPr>
        <w:t>”</w:t>
      </w:r>
      <w:r w:rsidRPr="00B74333">
        <w:rPr>
          <w:rFonts w:eastAsia="Calibri" w:cstheme="minorHAnsi"/>
          <w:color w:val="000000"/>
          <w:lang w:bidi="en-US"/>
        </w:rPr>
        <w:t>) and the company under the company name</w:t>
      </w:r>
      <w:r w:rsidR="00222097" w:rsidRPr="00B74333">
        <w:rPr>
          <w:rFonts w:eastAsia="Calibri" w:cstheme="minorHAnsi"/>
          <w:color w:val="000000"/>
          <w:lang w:bidi="en-US"/>
        </w:rPr>
        <w:t xml:space="preserve"> </w:t>
      </w:r>
      <w:r w:rsidRPr="00B74333">
        <w:rPr>
          <w:rFonts w:eastAsia="Calibri" w:cstheme="minorHAnsi"/>
          <w:color w:val="000000"/>
          <w:lang w:bidi="en-US"/>
        </w:rPr>
        <w:t xml:space="preserve">“HELLENIC GAS TRANSMISSION SYSTEM OPERATOR SOCIETE ANONYME” with the distinctive title “DESFA” (hereinafter </w:t>
      </w:r>
      <w:r w:rsidR="00F97B25" w:rsidRPr="00B74333">
        <w:rPr>
          <w:rFonts w:eastAsia="Calibri" w:cstheme="minorHAnsi"/>
          <w:color w:val="000000"/>
          <w:lang w:bidi="en-US"/>
        </w:rPr>
        <w:t>“</w:t>
      </w:r>
      <w:r w:rsidRPr="00B74333">
        <w:rPr>
          <w:rFonts w:eastAsia="Calibri" w:cstheme="minorHAnsi"/>
          <w:color w:val="000000"/>
          <w:lang w:bidi="en-US"/>
        </w:rPr>
        <w:t>DESFA</w:t>
      </w:r>
      <w:r w:rsidR="00F97B25" w:rsidRPr="00B74333">
        <w:rPr>
          <w:rFonts w:eastAsia="Calibri" w:cstheme="minorHAnsi"/>
          <w:color w:val="000000"/>
          <w:lang w:bidi="en-US"/>
        </w:rPr>
        <w:t>”</w:t>
      </w:r>
      <w:r w:rsidRPr="00B74333">
        <w:rPr>
          <w:rFonts w:eastAsia="Calibri" w:cstheme="minorHAnsi"/>
          <w:color w:val="000000"/>
          <w:lang w:bidi="en-US"/>
        </w:rPr>
        <w:t>) by and upon order of the Company. The terms used in this letter of guarantee shall, save where the context otherwise requires, have the meanings given in the Agreement.</w:t>
      </w:r>
    </w:p>
    <w:p w14:paraId="2BB84F67" w14:textId="7ADF0889" w:rsidR="00192F18" w:rsidRPr="00B74333" w:rsidRDefault="00192F18" w:rsidP="00222097">
      <w:pPr>
        <w:widowControl w:val="0"/>
        <w:tabs>
          <w:tab w:val="right" w:leader="dot" w:pos="4840"/>
          <w:tab w:val="left" w:pos="5004"/>
        </w:tabs>
        <w:spacing w:line="254" w:lineRule="auto"/>
        <w:jc w:val="both"/>
        <w:rPr>
          <w:rFonts w:eastAsia="Calibri" w:cstheme="minorHAnsi"/>
          <w:color w:val="000000"/>
          <w:lang w:bidi="en-US"/>
        </w:rPr>
      </w:pPr>
      <w:r w:rsidRPr="00B74333">
        <w:rPr>
          <w:rFonts w:eastAsia="Calibri" w:cstheme="minorHAnsi"/>
          <w:color w:val="000000"/>
          <w:lang w:bidi="en-US"/>
        </w:rPr>
        <w:t xml:space="preserve">We hereby expressly, irrevocably and unreservedly guarantee, on behalf of the Company, to pay to DESFA within 3 (three) working days, hereby expressly and unreservedly waiving the exception of claiming the benefit of option as well as our rights deriving from Articles 853, 855 et seq. and 866 of the Greek Civil Code, any amount up to the aggregate maximum amount of </w:t>
      </w:r>
      <w:r w:rsidRPr="00B74333">
        <w:rPr>
          <w:rFonts w:eastAsia="Calibri" w:cstheme="minorHAnsi"/>
          <w:i/>
          <w:color w:val="000000"/>
          <w:lang w:bidi="en-US"/>
        </w:rPr>
        <w:t>[</w:t>
      </w:r>
      <w:r w:rsidR="00AB60AE" w:rsidRPr="00B74333">
        <w:rPr>
          <w:rFonts w:eastAsia="Calibri" w:cstheme="minorHAnsi"/>
          <w:i/>
          <w:color w:val="000000"/>
          <w:lang w:bidi="en-US"/>
        </w:rPr>
        <w:t>GTA Guarantee</w:t>
      </w:r>
      <w:r w:rsidRPr="00B74333">
        <w:rPr>
          <w:rFonts w:eastAsia="Calibri" w:cstheme="minorHAnsi"/>
          <w:i/>
          <w:color w:val="000000"/>
          <w:lang w:bidi="en-US"/>
        </w:rPr>
        <w:t xml:space="preserve"> amount in EUR (€</w:t>
      </w:r>
      <w:r w:rsidRPr="00B74333">
        <w:rPr>
          <w:rFonts w:eastAsia="Calibri" w:cstheme="minorHAnsi"/>
          <w:i/>
          <w:color w:val="000000"/>
          <w:lang w:bidi="en-US"/>
        </w:rPr>
        <w:tab/>
        <w:t>)]</w:t>
      </w:r>
      <w:r w:rsidRPr="00B74333">
        <w:rPr>
          <w:rFonts w:eastAsia="Calibri" w:cstheme="minorHAnsi"/>
          <w:color w:val="000000"/>
          <w:lang w:bidi="en-US"/>
        </w:rPr>
        <w:tab/>
        <w:t>for the timely and due payment by the Company of</w:t>
      </w:r>
      <w:r w:rsidR="00222097" w:rsidRPr="00B74333">
        <w:rPr>
          <w:rFonts w:eastAsia="Calibri" w:cstheme="minorHAnsi"/>
          <w:color w:val="000000"/>
          <w:lang w:bidi="en-US"/>
        </w:rPr>
        <w:t xml:space="preserve"> </w:t>
      </w:r>
      <w:r w:rsidRPr="00B74333">
        <w:rPr>
          <w:rFonts w:eastAsia="Calibri" w:cstheme="minorHAnsi"/>
          <w:color w:val="000000"/>
          <w:lang w:bidi="en-US"/>
        </w:rPr>
        <w:t>its obligations resulting from or arising out of or in connection with the Agreement.</w:t>
      </w:r>
    </w:p>
    <w:p w14:paraId="58CAEDF2" w14:textId="77777777" w:rsidR="00192F18" w:rsidRPr="00B74333" w:rsidRDefault="00192F18" w:rsidP="00192F18">
      <w:pPr>
        <w:widowControl w:val="0"/>
        <w:spacing w:line="257" w:lineRule="auto"/>
        <w:jc w:val="both"/>
        <w:rPr>
          <w:rFonts w:eastAsia="Calibri" w:cstheme="minorHAnsi"/>
          <w:color w:val="000000"/>
          <w:lang w:bidi="en-US"/>
        </w:rPr>
      </w:pPr>
      <w:r w:rsidRPr="00B74333">
        <w:rPr>
          <w:rFonts w:eastAsia="Calibri" w:cstheme="minorHAnsi"/>
          <w:color w:val="000000"/>
          <w:lang w:bidi="en-US"/>
        </w:rPr>
        <w:t>The amount mentioned above shall be kept at your disposal and shall be paid, on first demand, without any deduction or set-off of any kind or objection and offering no excuse, in whole or in part, upon the receipt of your simple written payment demand and upon return of guarantee, without having to substantiate your demand. Payment under this guarantee shall be made by wire transfer of immediately available funds to the account specified in your payment demand.</w:t>
      </w:r>
    </w:p>
    <w:p w14:paraId="7C173A59" w14:textId="77777777" w:rsidR="00192F18" w:rsidRPr="00B74333" w:rsidRDefault="00192F18" w:rsidP="00192F18">
      <w:pPr>
        <w:widowControl w:val="0"/>
        <w:spacing w:line="254" w:lineRule="auto"/>
        <w:jc w:val="both"/>
        <w:rPr>
          <w:rFonts w:eastAsia="Calibri" w:cstheme="minorHAnsi"/>
          <w:color w:val="000000"/>
          <w:lang w:bidi="en-US"/>
        </w:rPr>
      </w:pPr>
      <w:r w:rsidRPr="00B74333">
        <w:rPr>
          <w:rFonts w:eastAsia="Calibri" w:cstheme="minorHAnsi"/>
          <w:color w:val="000000"/>
          <w:lang w:bidi="en-US"/>
        </w:rPr>
        <w:t xml:space="preserve">If we receive a partial payment demand as per above, then this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w:t>
      </w:r>
      <w:proofErr w:type="gramStart"/>
      <w:r w:rsidRPr="00B74333">
        <w:rPr>
          <w:rFonts w:eastAsia="Calibri" w:cstheme="minorHAnsi"/>
          <w:color w:val="000000"/>
          <w:lang w:bidi="en-US"/>
        </w:rPr>
        <w:t>force</w:t>
      </w:r>
      <w:proofErr w:type="gramEnd"/>
      <w:r w:rsidRPr="00B74333">
        <w:rPr>
          <w:rFonts w:eastAsia="Calibri" w:cstheme="minorHAnsi"/>
          <w:color w:val="000000"/>
          <w:lang w:bidi="en-US"/>
        </w:rPr>
        <w:t xml:space="preserve"> and we shall have no right to refuse payment and no right to raise any objections, either on our behalf or on the behalf of the Company in favor of which this letter of guarantee is being issued or on behalf of any third party. DESFA shall not be incurred with taxes, levies or any charge related to a call on this letter of guarantee.</w:t>
      </w:r>
    </w:p>
    <w:p w14:paraId="33ADE250" w14:textId="40420D98" w:rsidR="00192F18" w:rsidRPr="00B74333" w:rsidRDefault="00192F18" w:rsidP="00222097">
      <w:pPr>
        <w:widowControl w:val="0"/>
        <w:tabs>
          <w:tab w:val="right" w:leader="dot" w:pos="7326"/>
          <w:tab w:val="left" w:pos="7490"/>
        </w:tabs>
        <w:spacing w:line="254" w:lineRule="auto"/>
        <w:jc w:val="both"/>
        <w:rPr>
          <w:rFonts w:eastAsia="Calibri" w:cstheme="minorHAnsi"/>
          <w:color w:val="000000"/>
          <w:lang w:bidi="en-US"/>
        </w:rPr>
      </w:pPr>
      <w:r w:rsidRPr="00B74333">
        <w:rPr>
          <w:rFonts w:eastAsia="Calibri" w:cstheme="minorHAnsi"/>
          <w:color w:val="000000"/>
          <w:lang w:bidi="en-US"/>
        </w:rPr>
        <w:t>This Letter of Guarantee shall remain valid strictly until</w:t>
      </w:r>
      <w:r w:rsidR="00D56F83" w:rsidRPr="00B74333">
        <w:rPr>
          <w:rFonts w:eastAsia="Calibri" w:cstheme="minorHAnsi"/>
          <w:color w:val="000000"/>
          <w:lang w:bidi="en-US"/>
        </w:rPr>
        <w:t xml:space="preserve"> …………………</w:t>
      </w:r>
      <w:proofErr w:type="gramStart"/>
      <w:r w:rsidR="00D56F83" w:rsidRPr="00B74333">
        <w:rPr>
          <w:rFonts w:eastAsia="Calibri" w:cstheme="minorHAnsi"/>
          <w:color w:val="000000"/>
          <w:lang w:bidi="en-US"/>
        </w:rPr>
        <w:t>…..</w:t>
      </w:r>
      <w:proofErr w:type="gramEnd"/>
      <w:r w:rsidRPr="00B74333">
        <w:rPr>
          <w:rFonts w:eastAsia="Calibri" w:cstheme="minorHAnsi"/>
          <w:color w:val="000000"/>
          <w:lang w:bidi="en-US"/>
        </w:rPr>
        <w:t>,</w:t>
      </w:r>
      <w:r w:rsidRPr="00B74333">
        <w:rPr>
          <w:rFonts w:eastAsia="Calibri" w:cstheme="minorHAnsi"/>
          <w:color w:val="000000"/>
          <w:lang w:bidi="en-US"/>
        </w:rPr>
        <w:tab/>
      </w:r>
      <w:r w:rsidR="00D56F83" w:rsidRPr="00B74333">
        <w:rPr>
          <w:rFonts w:eastAsia="Calibri" w:cstheme="minorHAnsi"/>
          <w:color w:val="000000"/>
          <w:lang w:bidi="en-US"/>
        </w:rPr>
        <w:t xml:space="preserve"> </w:t>
      </w:r>
      <w:r w:rsidRPr="00B74333">
        <w:rPr>
          <w:rFonts w:eastAsia="Calibri" w:cstheme="minorHAnsi"/>
          <w:color w:val="000000"/>
          <w:lang w:bidi="en-US"/>
        </w:rPr>
        <w:t>12:00 hours</w:t>
      </w:r>
      <w:r w:rsidR="00D56F83" w:rsidRPr="00B74333">
        <w:rPr>
          <w:rFonts w:eastAsia="Calibri" w:cstheme="minorHAnsi"/>
          <w:color w:val="000000"/>
          <w:lang w:bidi="en-US"/>
        </w:rPr>
        <w:t xml:space="preserve">; </w:t>
      </w:r>
      <w:r w:rsidRPr="00B74333">
        <w:rPr>
          <w:rFonts w:eastAsia="Calibri" w:cstheme="minorHAnsi"/>
          <w:color w:val="000000"/>
          <w:lang w:bidi="en-US"/>
        </w:rPr>
        <w:t>past this</w:t>
      </w:r>
      <w:r w:rsidR="00222097" w:rsidRPr="00B74333">
        <w:rPr>
          <w:rFonts w:eastAsia="Calibri" w:cstheme="minorHAnsi"/>
          <w:color w:val="000000"/>
          <w:lang w:bidi="en-US"/>
        </w:rPr>
        <w:t xml:space="preserve"> </w:t>
      </w:r>
      <w:r w:rsidRPr="00B74333">
        <w:rPr>
          <w:rFonts w:eastAsia="Calibri" w:cstheme="minorHAnsi"/>
          <w:color w:val="000000"/>
          <w:lang w:bidi="en-US"/>
        </w:rPr>
        <w:t xml:space="preserve">deadline and provided that we have not been made aware of any claims by you over the amount of the guarantee, as mentioned above, this letter of guarantee shall automatically become null and void. </w:t>
      </w:r>
      <w:r w:rsidRPr="00B74333">
        <w:rPr>
          <w:rFonts w:eastAsia="Calibri" w:cstheme="minorHAnsi"/>
          <w:color w:val="000000"/>
          <w:lang w:bidi="en-US"/>
        </w:rPr>
        <w:lastRenderedPageBreak/>
        <w:t>We also certify that all letters of guarantee that have been issued by us and are in force, including also present Letter of Guarantee, doesn’t exceed the upper limit for our Bank regarding the provision of guarantees, stipulated by the applicable legislation.</w:t>
      </w:r>
    </w:p>
    <w:p w14:paraId="30CFDED8" w14:textId="676BD9FB" w:rsidR="00192F18" w:rsidRPr="00B74333" w:rsidRDefault="00192F18" w:rsidP="00192F18">
      <w:pPr>
        <w:widowControl w:val="0"/>
        <w:spacing w:after="600" w:line="254" w:lineRule="auto"/>
        <w:jc w:val="both"/>
        <w:rPr>
          <w:rFonts w:eastAsia="Calibri" w:cstheme="minorHAnsi"/>
          <w:color w:val="000000"/>
          <w:lang w:bidi="en-US"/>
        </w:rPr>
      </w:pPr>
      <w:r w:rsidRPr="00B74333">
        <w:rPr>
          <w:rFonts w:eastAsia="Calibri" w:cstheme="minorHAnsi"/>
          <w:color w:val="000000"/>
          <w:lang w:bidi="en-US"/>
        </w:rPr>
        <w:t>The present letter of guarantee shall be governed by the Greek Law; the Courts of Athens are exclusively competent to resolve any conflict arising therefrom.</w:t>
      </w:r>
    </w:p>
    <w:p w14:paraId="31A4DEC2" w14:textId="77777777" w:rsidR="00192F18" w:rsidRPr="00B74333" w:rsidRDefault="00192F18" w:rsidP="00192F18">
      <w:pPr>
        <w:widowControl w:val="0"/>
        <w:spacing w:line="254" w:lineRule="auto"/>
        <w:jc w:val="both"/>
        <w:rPr>
          <w:rFonts w:eastAsia="Calibri" w:cstheme="minorHAnsi"/>
          <w:color w:val="000000"/>
          <w:lang w:bidi="en-US"/>
        </w:rPr>
      </w:pPr>
      <w:r w:rsidRPr="00B74333">
        <w:rPr>
          <w:rFonts w:eastAsia="Calibri" w:cstheme="minorHAnsi"/>
          <w:i/>
          <w:color w:val="000000"/>
          <w:lang w:bidi="en-US"/>
        </w:rPr>
        <w:t>[name of issuing bank],</w:t>
      </w:r>
    </w:p>
    <w:p w14:paraId="620AA3E1" w14:textId="0FF85C34" w:rsidR="00D00BED" w:rsidRPr="00B74333" w:rsidRDefault="00192F18" w:rsidP="00192F18">
      <w:pPr>
        <w:widowControl w:val="0"/>
        <w:spacing w:after="3280" w:line="254" w:lineRule="auto"/>
        <w:jc w:val="both"/>
        <w:rPr>
          <w:rFonts w:eastAsia="Calibri" w:cstheme="minorHAnsi"/>
          <w:color w:val="000000"/>
          <w:lang w:bidi="en-US"/>
        </w:rPr>
      </w:pPr>
      <w:r w:rsidRPr="00B74333">
        <w:rPr>
          <w:rFonts w:eastAsia="Calibri" w:cstheme="minorHAnsi"/>
          <w:color w:val="000000"/>
          <w:lang w:bidi="en-US"/>
        </w:rPr>
        <w:t>In witness whereof, this Guarantee has been executed and delivered as a deed on the above</w:t>
      </w:r>
      <w:r w:rsidRPr="00B74333">
        <w:rPr>
          <w:rFonts w:eastAsia="Calibri" w:cstheme="minorHAnsi"/>
          <w:color w:val="000000"/>
          <w:lang w:bidi="en-US"/>
        </w:rPr>
        <w:softHyphen/>
        <w:t>mentioned date.</w:t>
      </w:r>
      <w:bookmarkEnd w:id="79"/>
    </w:p>
    <w:p w14:paraId="45F5F8E7" w14:textId="77777777" w:rsidR="00D00BED" w:rsidRPr="00B74333" w:rsidRDefault="00D00BED">
      <w:pPr>
        <w:rPr>
          <w:rFonts w:eastAsia="Calibri" w:cstheme="minorHAnsi"/>
          <w:color w:val="000000"/>
          <w:lang w:bidi="en-US"/>
        </w:rPr>
      </w:pPr>
      <w:r w:rsidRPr="00B74333">
        <w:rPr>
          <w:rFonts w:eastAsia="Calibri" w:cstheme="minorHAnsi"/>
          <w:color w:val="000000"/>
          <w:lang w:bidi="en-US"/>
        </w:rPr>
        <w:br w:type="page"/>
      </w:r>
    </w:p>
    <w:p w14:paraId="3FD2E964" w14:textId="77777777" w:rsidR="00D00BED" w:rsidRPr="00B74333" w:rsidRDefault="00D00BED" w:rsidP="00D00BED">
      <w:pPr>
        <w:jc w:val="center"/>
        <w:rPr>
          <w:rFonts w:cstheme="minorHAnsi"/>
          <w:sz w:val="20"/>
          <w:szCs w:val="20"/>
        </w:rPr>
      </w:pPr>
    </w:p>
    <w:p w14:paraId="4091C6C9" w14:textId="77777777" w:rsidR="00D00BED" w:rsidRPr="00B74333" w:rsidRDefault="00D00BED" w:rsidP="00D00BED">
      <w:pPr>
        <w:jc w:val="center"/>
        <w:rPr>
          <w:rFonts w:cstheme="minorHAnsi"/>
          <w:sz w:val="20"/>
          <w:szCs w:val="20"/>
        </w:rPr>
      </w:pPr>
    </w:p>
    <w:p w14:paraId="62F21D7C" w14:textId="77777777" w:rsidR="00D00BED" w:rsidRPr="00B74333" w:rsidRDefault="00D00BED" w:rsidP="00D00BED">
      <w:pPr>
        <w:jc w:val="center"/>
        <w:rPr>
          <w:rFonts w:cstheme="minorHAnsi"/>
          <w:sz w:val="20"/>
          <w:szCs w:val="20"/>
        </w:rPr>
      </w:pPr>
    </w:p>
    <w:p w14:paraId="3518D27D" w14:textId="77777777" w:rsidR="00D00BED" w:rsidRPr="00B74333" w:rsidRDefault="00D00BED" w:rsidP="00D00BED">
      <w:pPr>
        <w:jc w:val="center"/>
        <w:rPr>
          <w:rFonts w:cstheme="minorHAnsi"/>
          <w:sz w:val="20"/>
          <w:szCs w:val="20"/>
        </w:rPr>
      </w:pPr>
    </w:p>
    <w:p w14:paraId="54828AF6" w14:textId="77777777" w:rsidR="00D00BED" w:rsidRPr="00B74333" w:rsidRDefault="00D00BED" w:rsidP="00D00BED">
      <w:pPr>
        <w:jc w:val="center"/>
        <w:rPr>
          <w:rFonts w:cstheme="minorHAnsi"/>
          <w:sz w:val="20"/>
          <w:szCs w:val="20"/>
        </w:rPr>
      </w:pPr>
    </w:p>
    <w:p w14:paraId="0C5B6731" w14:textId="77777777" w:rsidR="00D00BED" w:rsidRPr="00B74333" w:rsidRDefault="00D00BED" w:rsidP="00D00BED">
      <w:pPr>
        <w:jc w:val="center"/>
        <w:rPr>
          <w:rFonts w:cstheme="minorHAnsi"/>
          <w:sz w:val="20"/>
          <w:szCs w:val="20"/>
        </w:rPr>
      </w:pPr>
    </w:p>
    <w:p w14:paraId="70E1E9B5" w14:textId="77777777" w:rsidR="00D00BED" w:rsidRPr="00B74333" w:rsidRDefault="00D00BED" w:rsidP="00D00BED">
      <w:pPr>
        <w:jc w:val="center"/>
        <w:rPr>
          <w:rFonts w:cstheme="minorHAnsi"/>
          <w:sz w:val="20"/>
          <w:szCs w:val="20"/>
        </w:rPr>
      </w:pPr>
    </w:p>
    <w:p w14:paraId="2BB02030" w14:textId="77777777" w:rsidR="00D00BED" w:rsidRPr="00B74333" w:rsidRDefault="00D00BED" w:rsidP="00D00BED">
      <w:pPr>
        <w:jc w:val="center"/>
        <w:rPr>
          <w:rFonts w:cstheme="minorHAnsi"/>
          <w:sz w:val="20"/>
          <w:szCs w:val="20"/>
        </w:rPr>
      </w:pPr>
    </w:p>
    <w:p w14:paraId="1DA30EB8" w14:textId="77777777" w:rsidR="00D00BED" w:rsidRPr="00B74333" w:rsidRDefault="00D00BED" w:rsidP="00D00BED">
      <w:pPr>
        <w:jc w:val="center"/>
        <w:rPr>
          <w:rFonts w:cstheme="minorHAnsi"/>
          <w:sz w:val="20"/>
          <w:szCs w:val="20"/>
        </w:rPr>
      </w:pPr>
    </w:p>
    <w:p w14:paraId="100C72D4" w14:textId="77777777" w:rsidR="00D00BED" w:rsidRPr="00B74333" w:rsidRDefault="00D00BED" w:rsidP="00D00BED">
      <w:pPr>
        <w:jc w:val="center"/>
        <w:rPr>
          <w:rFonts w:cstheme="minorHAnsi"/>
          <w:sz w:val="20"/>
          <w:szCs w:val="20"/>
        </w:rPr>
      </w:pPr>
    </w:p>
    <w:p w14:paraId="6D909BBA" w14:textId="77777777" w:rsidR="00D00BED" w:rsidRPr="00B74333" w:rsidRDefault="00D00BED" w:rsidP="00D00BED">
      <w:pPr>
        <w:jc w:val="center"/>
        <w:rPr>
          <w:rFonts w:cstheme="minorHAnsi"/>
          <w:sz w:val="20"/>
          <w:szCs w:val="20"/>
        </w:rPr>
      </w:pPr>
    </w:p>
    <w:p w14:paraId="73E603FD" w14:textId="77777777" w:rsidR="00D00BED" w:rsidRPr="00B74333" w:rsidRDefault="00D00BED" w:rsidP="00D00BED">
      <w:pPr>
        <w:jc w:val="center"/>
        <w:rPr>
          <w:rFonts w:cstheme="minorHAnsi"/>
          <w:sz w:val="20"/>
          <w:szCs w:val="20"/>
        </w:rPr>
      </w:pPr>
    </w:p>
    <w:p w14:paraId="14C5CDC5" w14:textId="77777777" w:rsidR="00D00BED" w:rsidRPr="00B74333" w:rsidRDefault="00D00BED" w:rsidP="00D00BED">
      <w:pPr>
        <w:jc w:val="center"/>
        <w:rPr>
          <w:rFonts w:cstheme="minorHAnsi"/>
          <w:sz w:val="20"/>
          <w:szCs w:val="20"/>
        </w:rPr>
      </w:pPr>
    </w:p>
    <w:p w14:paraId="09FAB0BB" w14:textId="77777777" w:rsidR="00D00BED" w:rsidRPr="00B74333" w:rsidRDefault="00D00BED" w:rsidP="00D00BED">
      <w:pPr>
        <w:jc w:val="center"/>
        <w:rPr>
          <w:rFonts w:cstheme="minorHAnsi"/>
          <w:sz w:val="20"/>
          <w:szCs w:val="20"/>
        </w:rPr>
      </w:pPr>
    </w:p>
    <w:p w14:paraId="3DA65861" w14:textId="77777777" w:rsidR="00D00BED" w:rsidRPr="00B74333" w:rsidRDefault="00D00BED" w:rsidP="00D00BED">
      <w:pPr>
        <w:jc w:val="center"/>
        <w:rPr>
          <w:rFonts w:cstheme="minorHAnsi"/>
          <w:sz w:val="20"/>
          <w:szCs w:val="20"/>
        </w:rPr>
      </w:pPr>
    </w:p>
    <w:p w14:paraId="6108F9CD" w14:textId="77777777" w:rsidR="00D00BED" w:rsidRPr="00B74333" w:rsidRDefault="00D00BED" w:rsidP="00D00BED">
      <w:pPr>
        <w:jc w:val="center"/>
        <w:rPr>
          <w:rFonts w:cstheme="minorHAnsi"/>
          <w:sz w:val="20"/>
          <w:szCs w:val="20"/>
        </w:rPr>
      </w:pPr>
    </w:p>
    <w:p w14:paraId="0B30FA71" w14:textId="77777777" w:rsidR="00D00BED" w:rsidRPr="00B74333" w:rsidRDefault="00D00BED" w:rsidP="00D00BED">
      <w:pPr>
        <w:jc w:val="center"/>
        <w:rPr>
          <w:rFonts w:cstheme="minorHAnsi"/>
          <w:sz w:val="20"/>
          <w:szCs w:val="20"/>
        </w:rPr>
      </w:pPr>
    </w:p>
    <w:p w14:paraId="666306C5" w14:textId="30641972" w:rsidR="00D00BED" w:rsidRPr="0040776A" w:rsidRDefault="00D00BED" w:rsidP="00D00BED">
      <w:pPr>
        <w:jc w:val="center"/>
        <w:rPr>
          <w:rFonts w:cstheme="minorHAnsi"/>
          <w:sz w:val="20"/>
          <w:szCs w:val="20"/>
        </w:rPr>
      </w:pPr>
      <w:r w:rsidRPr="00B74333">
        <w:rPr>
          <w:rFonts w:cstheme="minorHAnsi"/>
          <w:sz w:val="20"/>
          <w:szCs w:val="20"/>
        </w:rPr>
        <w:t>(End of document)</w:t>
      </w:r>
      <w:r w:rsidRPr="0040776A">
        <w:rPr>
          <w:rFonts w:cstheme="minorHAnsi"/>
          <w:sz w:val="20"/>
          <w:szCs w:val="20"/>
        </w:rPr>
        <w:t xml:space="preserve"> </w:t>
      </w:r>
    </w:p>
    <w:p w14:paraId="3A6D58E7" w14:textId="77777777" w:rsidR="00192F18" w:rsidRPr="0040776A" w:rsidRDefault="00192F18" w:rsidP="00192F18">
      <w:pPr>
        <w:widowControl w:val="0"/>
        <w:spacing w:after="3280" w:line="254" w:lineRule="auto"/>
        <w:jc w:val="both"/>
        <w:rPr>
          <w:rFonts w:eastAsia="Calibri" w:cstheme="minorHAnsi"/>
          <w:color w:val="000000"/>
          <w:lang w:bidi="en-US"/>
        </w:rPr>
      </w:pPr>
    </w:p>
    <w:p w14:paraId="55A37C61" w14:textId="77777777" w:rsidR="001D46A8" w:rsidRPr="0040776A" w:rsidRDefault="001D46A8" w:rsidP="001D46A8">
      <w:pPr>
        <w:suppressAutoHyphens/>
        <w:spacing w:after="0" w:line="360" w:lineRule="auto"/>
        <w:rPr>
          <w:rFonts w:eastAsia="Times New Roman" w:cstheme="minorHAnsi"/>
        </w:rPr>
      </w:pPr>
    </w:p>
    <w:sectPr w:rsidR="001D46A8" w:rsidRPr="0040776A" w:rsidSect="00523FE9">
      <w:headerReference w:type="default" r:id="rId24"/>
      <w:footerReference w:type="default" r:id="rId25"/>
      <w:footerReference w:type="first" r:id="rId26"/>
      <w:pgSz w:w="11906" w:h="16838" w:code="9"/>
      <w:pgMar w:top="1276"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969FE" w14:textId="77777777" w:rsidR="00523FE9" w:rsidRDefault="00523FE9" w:rsidP="0015719B">
      <w:pPr>
        <w:spacing w:after="0" w:line="240" w:lineRule="auto"/>
      </w:pPr>
      <w:r>
        <w:separator/>
      </w:r>
    </w:p>
  </w:endnote>
  <w:endnote w:type="continuationSeparator" w:id="0">
    <w:p w14:paraId="78996A57" w14:textId="77777777" w:rsidR="00523FE9" w:rsidRDefault="00523FE9" w:rsidP="0015719B">
      <w:pPr>
        <w:spacing w:after="0" w:line="240" w:lineRule="auto"/>
      </w:pPr>
      <w:r>
        <w:continuationSeparator/>
      </w:r>
    </w:p>
  </w:endnote>
  <w:endnote w:type="continuationNotice" w:id="1">
    <w:p w14:paraId="57ADE3F0" w14:textId="77777777" w:rsidR="00523FE9" w:rsidRDefault="00523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95859"/>
      <w:docPartObj>
        <w:docPartGallery w:val="Page Numbers (Bottom of Page)"/>
        <w:docPartUnique/>
      </w:docPartObj>
    </w:sdtPr>
    <w:sdtContent>
      <w:sdt>
        <w:sdtPr>
          <w:id w:val="-217747688"/>
          <w:docPartObj>
            <w:docPartGallery w:val="Page Numbers (Top of Page)"/>
            <w:docPartUnique/>
          </w:docPartObj>
        </w:sdtPr>
        <w:sdtContent>
          <w:p w14:paraId="1F454320" w14:textId="1E92E271" w:rsidR="00192F18" w:rsidRDefault="00192F18">
            <w:pPr>
              <w:pStyle w:val="Footer"/>
              <w:jc w:val="center"/>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FEE740" w14:textId="77777777" w:rsidR="00192F18" w:rsidRDefault="00192F1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4A268" w14:textId="286E516D" w:rsidR="00192F18" w:rsidRPr="00D00AA9" w:rsidRDefault="00192F18">
    <w:pPr>
      <w:pStyle w:val="Footer"/>
      <w:tabs>
        <w:tab w:val="clear" w:pos="4153"/>
        <w:tab w:val="clear" w:pos="8306"/>
      </w:tabs>
      <w:ind w:right="3817"/>
      <w:jc w:val="right"/>
      <w:rPr>
        <w:rFonts w:cstheme="minorHAnsi"/>
        <w:b/>
        <w:bCs/>
      </w:rPr>
    </w:pPr>
  </w:p>
  <w:p w14:paraId="41575995" w14:textId="77777777" w:rsidR="00192F18" w:rsidRDefault="00192F1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698386"/>
      <w:docPartObj>
        <w:docPartGallery w:val="Page Numbers (Bottom of Page)"/>
        <w:docPartUnique/>
      </w:docPartObj>
    </w:sdtPr>
    <w:sdtContent>
      <w:sdt>
        <w:sdtPr>
          <w:id w:val="1728636285"/>
          <w:docPartObj>
            <w:docPartGallery w:val="Page Numbers (Top of Page)"/>
            <w:docPartUnique/>
          </w:docPartObj>
        </w:sdtPr>
        <w:sdtContent>
          <w:p w14:paraId="39BEB215" w14:textId="3784E430" w:rsidR="00413C78" w:rsidRPr="00FE158E" w:rsidRDefault="00413C78">
            <w:pPr>
              <w:pStyle w:val="Footer"/>
              <w:jc w:val="center"/>
            </w:pPr>
            <w:proofErr w:type="spellStart"/>
            <w:r w:rsidRPr="00FE158E">
              <w:t>Page</w:t>
            </w:r>
            <w:proofErr w:type="spellEnd"/>
            <w:r w:rsidRPr="00FE158E">
              <w:t xml:space="preserve"> </w:t>
            </w:r>
            <w:r w:rsidRPr="00FE158E">
              <w:rPr>
                <w:b/>
                <w:bCs/>
              </w:rPr>
              <w:fldChar w:fldCharType="begin"/>
            </w:r>
            <w:r w:rsidRPr="00FE158E">
              <w:rPr>
                <w:b/>
                <w:bCs/>
              </w:rPr>
              <w:instrText xml:space="preserve"> PAGE </w:instrText>
            </w:r>
            <w:r w:rsidRPr="00FE158E">
              <w:rPr>
                <w:b/>
                <w:bCs/>
              </w:rPr>
              <w:fldChar w:fldCharType="separate"/>
            </w:r>
            <w:r w:rsidRPr="00FE158E">
              <w:rPr>
                <w:b/>
                <w:bCs/>
              </w:rPr>
              <w:t>38</w:t>
            </w:r>
            <w:r w:rsidRPr="00FE158E">
              <w:rPr>
                <w:b/>
                <w:bCs/>
              </w:rPr>
              <w:fldChar w:fldCharType="end"/>
            </w:r>
            <w:r w:rsidRPr="00FE158E">
              <w:t xml:space="preserve"> of </w:t>
            </w:r>
            <w:r w:rsidR="00192F18" w:rsidRPr="00FE158E">
              <w:rPr>
                <w:b/>
                <w:bCs/>
              </w:rPr>
              <w:fldChar w:fldCharType="begin"/>
            </w:r>
            <w:r w:rsidR="00192F18" w:rsidRPr="00FE158E">
              <w:rPr>
                <w:b/>
                <w:bCs/>
              </w:rPr>
              <w:instrText xml:space="preserve"> NUMPAGES   \* MERGEFORMAT </w:instrText>
            </w:r>
            <w:r w:rsidR="00192F18" w:rsidRPr="00FE158E">
              <w:rPr>
                <w:b/>
                <w:bCs/>
              </w:rPr>
              <w:fldChar w:fldCharType="separate"/>
            </w:r>
            <w:r w:rsidR="00192F18" w:rsidRPr="00FE158E">
              <w:rPr>
                <w:b/>
                <w:bCs/>
              </w:rPr>
              <w:t>53</w:t>
            </w:r>
            <w:r w:rsidR="00192F18" w:rsidRPr="00FE158E">
              <w:rPr>
                <w:b/>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00413C78" w14:paraId="456E9665" w14:textId="77777777" w:rsidTr="00280AE1">
      <w:tc>
        <w:tcPr>
          <w:tcW w:w="3135" w:type="dxa"/>
        </w:tcPr>
        <w:p w14:paraId="0FDCF0A0" w14:textId="77777777" w:rsidR="00413C78" w:rsidRDefault="00413C78" w:rsidP="00280AE1">
          <w:pPr>
            <w:pStyle w:val="Header"/>
            <w:ind w:left="-115"/>
          </w:pPr>
        </w:p>
      </w:tc>
      <w:tc>
        <w:tcPr>
          <w:tcW w:w="3135" w:type="dxa"/>
        </w:tcPr>
        <w:p w14:paraId="2A07DB21" w14:textId="77777777" w:rsidR="00413C78" w:rsidRDefault="00413C78" w:rsidP="00280AE1">
          <w:pPr>
            <w:pStyle w:val="Header"/>
            <w:jc w:val="center"/>
          </w:pPr>
        </w:p>
      </w:tc>
      <w:tc>
        <w:tcPr>
          <w:tcW w:w="3135" w:type="dxa"/>
        </w:tcPr>
        <w:p w14:paraId="0A6E52E3" w14:textId="77777777" w:rsidR="00413C78" w:rsidRDefault="00413C78" w:rsidP="00280AE1">
          <w:pPr>
            <w:pStyle w:val="Header"/>
            <w:ind w:right="-115"/>
            <w:jc w:val="right"/>
          </w:pPr>
        </w:p>
      </w:tc>
    </w:tr>
  </w:tbl>
  <w:p w14:paraId="3E8C88EB" w14:textId="77777777" w:rsidR="00413C78" w:rsidRDefault="0041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A837C" w14:textId="77777777" w:rsidR="00523FE9" w:rsidRDefault="00523FE9" w:rsidP="0015719B">
      <w:pPr>
        <w:spacing w:after="0" w:line="240" w:lineRule="auto"/>
      </w:pPr>
      <w:r>
        <w:separator/>
      </w:r>
    </w:p>
  </w:footnote>
  <w:footnote w:type="continuationSeparator" w:id="0">
    <w:p w14:paraId="26AAE45A" w14:textId="77777777" w:rsidR="00523FE9" w:rsidRDefault="00523FE9" w:rsidP="0015719B">
      <w:pPr>
        <w:spacing w:after="0" w:line="240" w:lineRule="auto"/>
      </w:pPr>
      <w:r>
        <w:continuationSeparator/>
      </w:r>
    </w:p>
  </w:footnote>
  <w:footnote w:type="continuationNotice" w:id="1">
    <w:p w14:paraId="79BEF793" w14:textId="77777777" w:rsidR="00523FE9" w:rsidRDefault="00523FE9">
      <w:pPr>
        <w:spacing w:after="0" w:line="240" w:lineRule="auto"/>
      </w:pPr>
    </w:p>
  </w:footnote>
  <w:footnote w:id="2">
    <w:p w14:paraId="29808C6C" w14:textId="7D18E2FC" w:rsidR="00405B8A" w:rsidRPr="00C700E5" w:rsidRDefault="00A368DF" w:rsidP="005950A0">
      <w:pPr>
        <w:pStyle w:val="FootnoteText"/>
        <w:spacing w:after="120" w:line="240" w:lineRule="auto"/>
        <w:rPr>
          <w:i/>
          <w:sz w:val="18"/>
          <w:szCs w:val="18"/>
        </w:rPr>
      </w:pPr>
      <w:r>
        <w:rPr>
          <w:rStyle w:val="FootnoteReference"/>
        </w:rPr>
        <w:footnoteRef/>
      </w:r>
      <w:r>
        <w:t xml:space="preserve"> </w:t>
      </w:r>
      <w:r w:rsidR="00F74871" w:rsidRPr="008C1DCB">
        <w:rPr>
          <w:i/>
          <w:sz w:val="18"/>
          <w:szCs w:val="18"/>
        </w:rPr>
        <w:t>Interested parties must submit binding requests for both sides of the interconnection point (exit DESFA -&gt; entry BULGARTRANSGAZ submitted to DESFA and exit DESFA -&gt; entry BULGARTRANSGAZ submitted to BULGARTRANSGAZ). Binding requests to DESFA shall be submitted in the context of the present document. Identical requests must be submitted to BULGARTRANSGAZ in the context of the relevant Incremental Capacity Process according to Article 5.</w:t>
      </w:r>
      <w:r w:rsidR="00B728D7">
        <w:rPr>
          <w:i/>
          <w:iCs/>
          <w:sz w:val="18"/>
          <w:szCs w:val="18"/>
        </w:rPr>
        <w:t xml:space="preserve"> </w:t>
      </w:r>
      <w:r w:rsidR="00C70F0A">
        <w:rPr>
          <w:i/>
          <w:iCs/>
          <w:sz w:val="18"/>
          <w:szCs w:val="18"/>
        </w:rPr>
        <w:t>(</w:t>
      </w:r>
      <w:hyperlink r:id="rId1" w:history="1">
        <w:r w:rsidR="00C70F0A" w:rsidRPr="00C70F0A">
          <w:rPr>
            <w:rStyle w:val="Hyperlink"/>
            <w:i/>
            <w:sz w:val="18"/>
            <w:szCs w:val="18"/>
          </w:rPr>
          <w:t>https://www.bulgartransgaz.bg/en/pages/2023-236.html</w:t>
        </w:r>
      </w:hyperlink>
      <w:r w:rsidR="00D81863" w:rsidRPr="00C700E5">
        <w:rPr>
          <w:i/>
          <w:sz w:val="18"/>
          <w:szCs w:val="18"/>
        </w:rPr>
        <w:t xml:space="preserve"> </w:t>
      </w:r>
      <w:r w:rsidR="00C70F0A">
        <w:rPr>
          <w:i/>
          <w:sz w:val="18"/>
          <w:szCs w:val="18"/>
        </w:rPr>
        <w:t>)</w:t>
      </w:r>
    </w:p>
  </w:footnote>
  <w:footnote w:id="3">
    <w:p w14:paraId="3355D856" w14:textId="3E5803D7" w:rsidR="00E347E2" w:rsidRPr="00B728D7" w:rsidRDefault="00E347E2" w:rsidP="005950A0">
      <w:pPr>
        <w:pStyle w:val="FootnoteText"/>
        <w:spacing w:after="120" w:line="240" w:lineRule="auto"/>
        <w:rPr>
          <w:i/>
          <w:sz w:val="18"/>
          <w:szCs w:val="18"/>
        </w:rPr>
      </w:pPr>
      <w:r>
        <w:rPr>
          <w:rStyle w:val="FootnoteReference"/>
        </w:rPr>
        <w:footnoteRef/>
      </w:r>
      <w:r>
        <w:t xml:space="preserve"> </w:t>
      </w:r>
      <w:r w:rsidR="008A2D03" w:rsidRPr="00B728D7">
        <w:rPr>
          <w:i/>
          <w:sz w:val="18"/>
          <w:szCs w:val="18"/>
        </w:rPr>
        <w:t xml:space="preserve">Interested parties must submit binding requests for both sides of the interconnection point (exit DESFA -&gt; entry </w:t>
      </w:r>
      <w:r w:rsidR="00F51AE7" w:rsidRPr="00B728D7">
        <w:rPr>
          <w:i/>
          <w:sz w:val="18"/>
          <w:szCs w:val="18"/>
        </w:rPr>
        <w:t>I</w:t>
      </w:r>
      <w:r w:rsidR="001E6E2A" w:rsidRPr="00B728D7">
        <w:rPr>
          <w:i/>
          <w:sz w:val="18"/>
          <w:szCs w:val="18"/>
        </w:rPr>
        <w:t>GB</w:t>
      </w:r>
      <w:r w:rsidR="008A2D03" w:rsidRPr="00B728D7">
        <w:rPr>
          <w:i/>
          <w:sz w:val="18"/>
          <w:szCs w:val="18"/>
        </w:rPr>
        <w:t xml:space="preserve"> submitted to DESFA and exit DESFA -&gt; entry </w:t>
      </w:r>
      <w:r w:rsidR="001E6E2A" w:rsidRPr="00B728D7">
        <w:rPr>
          <w:i/>
          <w:sz w:val="18"/>
          <w:szCs w:val="18"/>
        </w:rPr>
        <w:t>IGB</w:t>
      </w:r>
      <w:r w:rsidR="008A2D03" w:rsidRPr="00B728D7">
        <w:rPr>
          <w:i/>
          <w:sz w:val="18"/>
          <w:szCs w:val="18"/>
        </w:rPr>
        <w:t xml:space="preserve"> submitted to </w:t>
      </w:r>
      <w:r w:rsidR="001E6E2A" w:rsidRPr="00B728D7">
        <w:rPr>
          <w:i/>
          <w:sz w:val="18"/>
          <w:szCs w:val="18"/>
        </w:rPr>
        <w:t>IGB</w:t>
      </w:r>
      <w:r w:rsidR="008A2D03" w:rsidRPr="00B728D7">
        <w:rPr>
          <w:i/>
          <w:sz w:val="18"/>
          <w:szCs w:val="18"/>
        </w:rPr>
        <w:t xml:space="preserve">). Binding requests to DESFA shall be submitted in the context of the present document. Identical requests must be submitted to </w:t>
      </w:r>
      <w:r w:rsidR="001D6192" w:rsidRPr="00B728D7">
        <w:rPr>
          <w:i/>
          <w:sz w:val="18"/>
          <w:szCs w:val="18"/>
        </w:rPr>
        <w:t>IGB</w:t>
      </w:r>
      <w:r w:rsidR="008A2D03" w:rsidRPr="00B728D7">
        <w:rPr>
          <w:i/>
          <w:sz w:val="18"/>
          <w:szCs w:val="18"/>
        </w:rPr>
        <w:t xml:space="preserve"> in the context of the relevant Incremental Capacity Process according to Article 5.</w:t>
      </w:r>
      <w:r w:rsidR="000D3915" w:rsidRPr="00B728D7">
        <w:rPr>
          <w:i/>
          <w:sz w:val="18"/>
          <w:szCs w:val="18"/>
        </w:rPr>
        <w:t xml:space="preserve"> (</w:t>
      </w:r>
      <w:hyperlink r:id="rId2" w:history="1">
        <w:r w:rsidR="00FD4430" w:rsidRPr="005C1C35">
          <w:rPr>
            <w:rStyle w:val="Hyperlink"/>
            <w:i/>
            <w:sz w:val="18"/>
            <w:szCs w:val="18"/>
          </w:rPr>
          <w:t>https://www.icgb.eu/</w:t>
        </w:r>
      </w:hyperlink>
      <w:r w:rsidR="00FD4430">
        <w:rPr>
          <w:i/>
          <w:sz w:val="18"/>
          <w:szCs w:val="18"/>
        </w:rPr>
        <w:t xml:space="preserve"> </w:t>
      </w:r>
      <w:r w:rsidR="000D3915" w:rsidRPr="00B728D7">
        <w:rPr>
          <w:i/>
          <w:sz w:val="18"/>
          <w:szCs w:val="18"/>
        </w:rPr>
        <w:t>)</w:t>
      </w:r>
    </w:p>
  </w:footnote>
  <w:footnote w:id="4">
    <w:p w14:paraId="6E34DCCF" w14:textId="64FEE6BF" w:rsidR="007A4C4F" w:rsidRPr="00C700E5" w:rsidRDefault="007A4C4F" w:rsidP="005950A0">
      <w:pPr>
        <w:pStyle w:val="FootnoteText"/>
        <w:spacing w:after="120" w:line="240" w:lineRule="auto"/>
        <w:rPr>
          <w:i/>
          <w:sz w:val="18"/>
          <w:szCs w:val="18"/>
        </w:rPr>
      </w:pPr>
      <w:r w:rsidRPr="00C700E5">
        <w:rPr>
          <w:rStyle w:val="FootnoteReference"/>
          <w:i/>
          <w:sz w:val="18"/>
          <w:szCs w:val="18"/>
        </w:rPr>
        <w:footnoteRef/>
      </w:r>
      <w:r w:rsidRPr="00C700E5">
        <w:rPr>
          <w:i/>
          <w:sz w:val="18"/>
          <w:szCs w:val="18"/>
        </w:rPr>
        <w:t xml:space="preserve"> It is the responsibility of the Participant to initiate any procedures that may be necessary for capacity to be made available upstream of </w:t>
      </w:r>
      <w:r w:rsidR="00616F61" w:rsidRPr="00616F61">
        <w:rPr>
          <w:i/>
          <w:sz w:val="18"/>
          <w:szCs w:val="18"/>
        </w:rPr>
        <w:t>NNGS System</w:t>
      </w:r>
      <w:r w:rsidRPr="00C700E5">
        <w:rPr>
          <w:i/>
          <w:sz w:val="18"/>
          <w:szCs w:val="18"/>
        </w:rPr>
        <w:t xml:space="preserve">. DESFA makes no representation as to the availability of such capacity or to the existence of required </w:t>
      </w:r>
      <w:r w:rsidR="00472100" w:rsidRPr="00472100">
        <w:rPr>
          <w:i/>
          <w:sz w:val="18"/>
          <w:szCs w:val="18"/>
        </w:rPr>
        <w:t>facilities that are not part of NNGS System</w:t>
      </w:r>
      <w:r w:rsidR="006B74A1">
        <w:rPr>
          <w:i/>
          <w:sz w:val="18"/>
          <w:szCs w:val="18"/>
        </w:rPr>
        <w:t>.</w:t>
      </w:r>
    </w:p>
  </w:footnote>
  <w:footnote w:id="5">
    <w:p w14:paraId="33734858" w14:textId="2E09FD6B" w:rsidR="007A4C4F" w:rsidRPr="00C700E5" w:rsidRDefault="007A4C4F" w:rsidP="005950A0">
      <w:pPr>
        <w:pStyle w:val="FootnoteText"/>
        <w:spacing w:after="120" w:line="240" w:lineRule="auto"/>
        <w:rPr>
          <w:i/>
          <w:sz w:val="18"/>
          <w:szCs w:val="18"/>
        </w:rPr>
      </w:pPr>
      <w:r w:rsidRPr="00C700E5">
        <w:rPr>
          <w:rStyle w:val="FootnoteReference"/>
          <w:i/>
          <w:sz w:val="18"/>
          <w:szCs w:val="18"/>
        </w:rPr>
        <w:footnoteRef/>
      </w:r>
      <w:r w:rsidRPr="00C700E5">
        <w:rPr>
          <w:i/>
          <w:sz w:val="18"/>
          <w:szCs w:val="18"/>
        </w:rPr>
        <w:t xml:space="preserve"> </w:t>
      </w:r>
      <w:r w:rsidR="00017703" w:rsidRPr="00C700E5">
        <w:rPr>
          <w:i/>
          <w:sz w:val="18"/>
          <w:szCs w:val="18"/>
        </w:rPr>
        <w:t xml:space="preserve">It is the responsibility of the Participant to initiate any procedures that may be necessary for capacity to be made available downstream of </w:t>
      </w:r>
      <w:r w:rsidR="00616F61" w:rsidRPr="00616F61">
        <w:rPr>
          <w:i/>
          <w:sz w:val="18"/>
          <w:szCs w:val="18"/>
        </w:rPr>
        <w:t>NNGS System</w:t>
      </w:r>
      <w:r w:rsidR="00017703" w:rsidRPr="00C700E5">
        <w:rPr>
          <w:i/>
          <w:sz w:val="18"/>
          <w:szCs w:val="18"/>
        </w:rPr>
        <w:t xml:space="preserve">. DESFA makes no representation as to the availability of such capacity or to the existence of required </w:t>
      </w:r>
      <w:r w:rsidR="006B74A1" w:rsidRPr="006B74A1">
        <w:rPr>
          <w:i/>
          <w:sz w:val="18"/>
          <w:szCs w:val="18"/>
        </w:rPr>
        <w:t>facilities that are not part of NNGS System</w:t>
      </w:r>
      <w:r w:rsidR="006B74A1">
        <w:rPr>
          <w:i/>
          <w:sz w:val="18"/>
          <w:szCs w:val="18"/>
        </w:rPr>
        <w:t>.</w:t>
      </w:r>
    </w:p>
  </w:footnote>
  <w:footnote w:id="6">
    <w:p w14:paraId="43FE576A" w14:textId="4019B1BA" w:rsidR="001F23C1" w:rsidRPr="00C700E5" w:rsidRDefault="001F23C1" w:rsidP="005950A0">
      <w:pPr>
        <w:pStyle w:val="FootnoteText"/>
        <w:spacing w:after="120" w:line="240" w:lineRule="auto"/>
        <w:rPr>
          <w:i/>
          <w:sz w:val="18"/>
          <w:szCs w:val="18"/>
        </w:rPr>
      </w:pPr>
      <w:r w:rsidRPr="00C700E5">
        <w:rPr>
          <w:rStyle w:val="FootnoteReference"/>
          <w:i/>
          <w:sz w:val="18"/>
          <w:szCs w:val="18"/>
        </w:rPr>
        <w:footnoteRef/>
      </w:r>
      <w:r w:rsidRPr="00C700E5">
        <w:rPr>
          <w:i/>
          <w:sz w:val="18"/>
          <w:szCs w:val="18"/>
        </w:rPr>
        <w:t xml:space="preserve"> </w:t>
      </w:r>
      <w:r w:rsidR="00AB3589" w:rsidRPr="00C700E5">
        <w:rPr>
          <w:i/>
          <w:sz w:val="18"/>
          <w:szCs w:val="18"/>
        </w:rPr>
        <w:t xml:space="preserve">It is the responsibility of the Participant to initiate any procedures that may be necessary for capacity to be made available upstream of </w:t>
      </w:r>
      <w:r w:rsidR="00616F61" w:rsidRPr="00616F61">
        <w:rPr>
          <w:i/>
          <w:sz w:val="18"/>
          <w:szCs w:val="18"/>
        </w:rPr>
        <w:t>NNGS System</w:t>
      </w:r>
      <w:r w:rsidR="00AB3589" w:rsidRPr="00C700E5">
        <w:rPr>
          <w:i/>
          <w:sz w:val="18"/>
          <w:szCs w:val="18"/>
        </w:rPr>
        <w:t xml:space="preserve">. DESFA makes no representation as to the availability of such capacity or to the existence of required </w:t>
      </w:r>
      <w:r w:rsidR="006B74A1" w:rsidRPr="006B74A1">
        <w:rPr>
          <w:i/>
          <w:sz w:val="18"/>
          <w:szCs w:val="18"/>
        </w:rPr>
        <w:t>facilities that are not part of NNGS System</w:t>
      </w:r>
      <w:r w:rsidR="006B74A1">
        <w:rPr>
          <w:i/>
          <w:sz w:val="18"/>
          <w:szCs w:val="18"/>
        </w:rPr>
        <w:t>.</w:t>
      </w:r>
    </w:p>
  </w:footnote>
  <w:footnote w:id="7">
    <w:p w14:paraId="407DB26C" w14:textId="660C2605" w:rsidR="00AB3589" w:rsidRPr="00C700E5" w:rsidRDefault="00AB3589" w:rsidP="005950A0">
      <w:pPr>
        <w:pStyle w:val="FootnoteText"/>
        <w:spacing w:after="120" w:line="240" w:lineRule="auto"/>
        <w:rPr>
          <w:i/>
          <w:sz w:val="18"/>
          <w:szCs w:val="18"/>
        </w:rPr>
      </w:pPr>
      <w:r w:rsidRPr="00C700E5">
        <w:rPr>
          <w:rStyle w:val="FootnoteReference"/>
          <w:i/>
          <w:sz w:val="18"/>
          <w:szCs w:val="18"/>
        </w:rPr>
        <w:footnoteRef/>
      </w:r>
      <w:r w:rsidRPr="00C700E5">
        <w:rPr>
          <w:i/>
          <w:sz w:val="18"/>
          <w:szCs w:val="18"/>
        </w:rPr>
        <w:t xml:space="preserve"> </w:t>
      </w:r>
      <w:r w:rsidR="00140603" w:rsidRPr="00C700E5">
        <w:rPr>
          <w:i/>
          <w:sz w:val="18"/>
          <w:szCs w:val="18"/>
        </w:rPr>
        <w:t xml:space="preserve">It is the responsibility of the Participant to initiate any procedures that may be necessary for capacity to be made available upstream of </w:t>
      </w:r>
      <w:r w:rsidR="00616F61" w:rsidRPr="00616F61">
        <w:rPr>
          <w:i/>
          <w:sz w:val="18"/>
          <w:szCs w:val="18"/>
        </w:rPr>
        <w:t>NNGS System</w:t>
      </w:r>
      <w:r w:rsidR="00140603" w:rsidRPr="00C700E5">
        <w:rPr>
          <w:i/>
          <w:sz w:val="18"/>
          <w:szCs w:val="18"/>
        </w:rPr>
        <w:t xml:space="preserve">. DESFA makes no representation as to the availability of such capacity or to the existence of required </w:t>
      </w:r>
      <w:r w:rsidR="006B74A1" w:rsidRPr="006B74A1">
        <w:rPr>
          <w:i/>
          <w:sz w:val="18"/>
          <w:szCs w:val="18"/>
        </w:rPr>
        <w:t>facilities that are not part of NNGS System</w:t>
      </w:r>
      <w:r w:rsidR="006B74A1">
        <w:rPr>
          <w:i/>
          <w:sz w:val="18"/>
          <w:szCs w:val="18"/>
        </w:rPr>
        <w:t>.</w:t>
      </w:r>
    </w:p>
  </w:footnote>
  <w:footnote w:id="8">
    <w:p w14:paraId="0FC53CD4" w14:textId="2C11356C" w:rsidR="00140603" w:rsidRPr="002B74D6" w:rsidRDefault="00140603" w:rsidP="00044580">
      <w:pPr>
        <w:pStyle w:val="FootnoteText"/>
        <w:spacing w:after="120" w:line="240" w:lineRule="auto"/>
        <w:rPr>
          <w:i/>
          <w:sz w:val="18"/>
          <w:szCs w:val="18"/>
        </w:rPr>
      </w:pPr>
      <w:r>
        <w:rPr>
          <w:rStyle w:val="FootnoteReference"/>
        </w:rPr>
        <w:footnoteRef/>
      </w:r>
      <w:r>
        <w:t xml:space="preserve"> </w:t>
      </w:r>
      <w:r w:rsidR="007E5A46" w:rsidRPr="002B74D6">
        <w:rPr>
          <w:i/>
          <w:sz w:val="18"/>
          <w:szCs w:val="18"/>
        </w:rPr>
        <w:t xml:space="preserve">It is the responsibility of the Participant to initiate any procedures that may be necessary for capacity to be made available upstream of </w:t>
      </w:r>
      <w:r w:rsidR="00616F61" w:rsidRPr="00616F61">
        <w:rPr>
          <w:i/>
          <w:sz w:val="18"/>
          <w:szCs w:val="18"/>
        </w:rPr>
        <w:t>NNGS System</w:t>
      </w:r>
      <w:r w:rsidR="007E5A46" w:rsidRPr="002B74D6">
        <w:rPr>
          <w:i/>
          <w:sz w:val="18"/>
          <w:szCs w:val="18"/>
        </w:rPr>
        <w:t xml:space="preserve">. DESFA makes no representation as to the availability of such capacity or to the existence of required </w:t>
      </w:r>
      <w:r w:rsidR="006B74A1" w:rsidRPr="006B74A1">
        <w:rPr>
          <w:i/>
          <w:sz w:val="18"/>
          <w:szCs w:val="18"/>
        </w:rPr>
        <w:t>facilities that are not part of NNGS System</w:t>
      </w:r>
      <w:r w:rsidR="006B74A1">
        <w:rPr>
          <w:i/>
          <w:sz w:val="18"/>
          <w:szCs w:val="18"/>
        </w:rPr>
        <w:t>.</w:t>
      </w:r>
    </w:p>
  </w:footnote>
  <w:footnote w:id="9">
    <w:p w14:paraId="51864F47" w14:textId="77777777" w:rsidR="007538C4" w:rsidRPr="009054E8" w:rsidRDefault="007538C4" w:rsidP="007538C4">
      <w:pPr>
        <w:pStyle w:val="FootnoteText"/>
        <w:rPr>
          <w:i/>
          <w:lang w:val="en-US"/>
        </w:rPr>
      </w:pPr>
      <w:r w:rsidRPr="00455F80">
        <w:rPr>
          <w:rStyle w:val="FootnoteReference"/>
          <w:i/>
        </w:rPr>
        <w:footnoteRef/>
      </w:r>
      <w:r w:rsidRPr="00455F80">
        <w:rPr>
          <w:i/>
        </w:rPr>
        <w:t xml:space="preserve"> </w:t>
      </w:r>
      <w:r w:rsidRPr="00455F80">
        <w:rPr>
          <w:i/>
          <w:lang w:val="en-US"/>
        </w:rPr>
        <w:t xml:space="preserve">Hellenic Regulatory Authority for Energy, Waste &amp; Water relevant </w:t>
      </w:r>
      <w:r>
        <w:rPr>
          <w:i/>
          <w:lang w:val="en-US"/>
        </w:rPr>
        <w:t>D</w:t>
      </w:r>
      <w:r w:rsidRPr="00455F80">
        <w:rPr>
          <w:i/>
          <w:lang w:val="en-US"/>
        </w:rPr>
        <w:t>ecision is still pending.</w:t>
      </w:r>
    </w:p>
  </w:footnote>
  <w:footnote w:id="10">
    <w:p w14:paraId="5CC1E0E0" w14:textId="45038018" w:rsidR="00906B54" w:rsidRPr="00E87015" w:rsidRDefault="00906B54">
      <w:pPr>
        <w:pStyle w:val="FootnoteText"/>
        <w:rPr>
          <w:i/>
        </w:rPr>
      </w:pPr>
      <w:r>
        <w:rPr>
          <w:rStyle w:val="FootnoteReference"/>
        </w:rPr>
        <w:footnoteRef/>
      </w:r>
      <w:r>
        <w:t xml:space="preserve"> </w:t>
      </w:r>
      <w:r w:rsidR="006D03EE" w:rsidRPr="00E87015">
        <w:rPr>
          <w:i/>
        </w:rPr>
        <w:t>The Offer Levels for this entry point may be reduced according to the bookings of the annual yearly capacity auctions (planned for 1st July 2024), since these are preceding the start of the Binding Bidding Phase</w:t>
      </w:r>
    </w:p>
  </w:footnote>
  <w:footnote w:id="11">
    <w:p w14:paraId="77A2663B" w14:textId="3DEE9A9F" w:rsidR="006D03EE" w:rsidRPr="00A01CC8" w:rsidRDefault="006D03EE">
      <w:pPr>
        <w:pStyle w:val="FootnoteText"/>
        <w:rPr>
          <w:i/>
        </w:rPr>
      </w:pPr>
      <w:r>
        <w:rPr>
          <w:rStyle w:val="FootnoteReference"/>
        </w:rPr>
        <w:footnoteRef/>
      </w:r>
      <w:r>
        <w:t xml:space="preserve"> </w:t>
      </w:r>
      <w:r w:rsidR="00B46F2F" w:rsidRPr="00A01CC8">
        <w:rPr>
          <w:i/>
        </w:rPr>
        <w:t>The Offer Levels for this entry point may be reduced according to the bookings of the annual yearly capacity auctions (planned for 1st July 2024), since these are preceding the start of the Binding Bidding Phase</w:t>
      </w:r>
    </w:p>
  </w:footnote>
  <w:footnote w:id="12">
    <w:p w14:paraId="34ED47DF" w14:textId="7FA769B1" w:rsidR="00A5330B" w:rsidRPr="007078BC" w:rsidRDefault="00A5330B" w:rsidP="00A5330B">
      <w:pPr>
        <w:pStyle w:val="FootnoteText"/>
        <w:rPr>
          <w:i/>
          <w:sz w:val="18"/>
          <w:szCs w:val="18"/>
        </w:rPr>
      </w:pPr>
      <w:r w:rsidRPr="007078BC">
        <w:rPr>
          <w:rStyle w:val="FootnoteReference"/>
          <w:sz w:val="18"/>
          <w:szCs w:val="18"/>
        </w:rPr>
        <w:footnoteRef/>
      </w:r>
      <w:r w:rsidRPr="007078BC">
        <w:rPr>
          <w:sz w:val="18"/>
          <w:szCs w:val="18"/>
          <w:lang w:val="en-US"/>
        </w:rPr>
        <w:t xml:space="preserve"> </w:t>
      </w:r>
      <w:r w:rsidRPr="007078BC">
        <w:rPr>
          <w:i/>
          <w:sz w:val="18"/>
          <w:szCs w:val="18"/>
        </w:rPr>
        <w:t>Especially for Kulata/Sidirokastro IP, the mutually agreed, between DESFA and BULGARTRANSGAZ, starting date is Q3 2029</w:t>
      </w:r>
      <w:r w:rsidR="00F304F6">
        <w:rPr>
          <w:i/>
          <w:sz w:val="18"/>
          <w:szCs w:val="18"/>
        </w:rPr>
        <w:t>.</w:t>
      </w:r>
    </w:p>
  </w:footnote>
  <w:footnote w:id="13">
    <w:p w14:paraId="2887F5C6" w14:textId="6FEC0814" w:rsidR="00981380" w:rsidRPr="00981380" w:rsidRDefault="00981380">
      <w:pPr>
        <w:pStyle w:val="FootnoteText"/>
      </w:pPr>
      <w:r>
        <w:rPr>
          <w:rStyle w:val="FootnoteReference"/>
        </w:rPr>
        <w:footnoteRef/>
      </w:r>
      <w:r>
        <w:t xml:space="preserve"> </w:t>
      </w:r>
      <w:r w:rsidR="0049002A" w:rsidRPr="0049002A">
        <w:t>The figure of this Cluster may be reduced according to the bookings of the annual yearly capacity auctions (planned for 1st July 2024), since these are preceding the start of the Binding Bidding Phase</w:t>
      </w:r>
    </w:p>
  </w:footnote>
  <w:footnote w:id="14">
    <w:p w14:paraId="084D1CA8" w14:textId="44D46249" w:rsidR="006658AD" w:rsidRPr="006658AD" w:rsidRDefault="006658AD">
      <w:pPr>
        <w:pStyle w:val="FootnoteText"/>
      </w:pPr>
      <w:r>
        <w:rPr>
          <w:rStyle w:val="FootnoteReference"/>
        </w:rPr>
        <w:footnoteRef/>
      </w:r>
      <w:r>
        <w:t xml:space="preserve"> </w:t>
      </w:r>
      <w:r w:rsidR="00F1628D" w:rsidRPr="00F1628D">
        <w:t>Especially for the Kulata/Sidirokastro IP, the mutually agreed, between DESFA and BULGARTRANSGAZ, starting date is within Q3 2029</w:t>
      </w:r>
    </w:p>
  </w:footnote>
  <w:footnote w:id="15">
    <w:p w14:paraId="2C7CDAD3" w14:textId="3AD37924" w:rsidR="006B0869" w:rsidRPr="00B734D2" w:rsidRDefault="006B0869">
      <w:pPr>
        <w:pStyle w:val="FootnoteText"/>
        <w:rPr>
          <w:i/>
          <w:sz w:val="18"/>
          <w:szCs w:val="18"/>
        </w:rPr>
      </w:pPr>
      <w:r w:rsidRPr="00B734D2">
        <w:rPr>
          <w:rStyle w:val="FootnoteReference"/>
          <w:i/>
          <w:sz w:val="18"/>
          <w:szCs w:val="18"/>
        </w:rPr>
        <w:footnoteRef/>
      </w:r>
      <w:r w:rsidRPr="00B734D2">
        <w:rPr>
          <w:i/>
          <w:sz w:val="18"/>
          <w:szCs w:val="18"/>
        </w:rPr>
        <w:t xml:space="preserve"> </w:t>
      </w:r>
      <w:hyperlink r:id="rId3" w:history="1">
        <w:r w:rsidR="00267624" w:rsidRPr="00B734D2">
          <w:rPr>
            <w:rStyle w:val="Hyperlink"/>
            <w:i/>
            <w:sz w:val="18"/>
            <w:szCs w:val="18"/>
          </w:rPr>
          <w:t>https://www.desfa.gr/en/regulatory-framework/compliance/code-of-conduct</w:t>
        </w:r>
      </w:hyperlink>
      <w:r w:rsidR="00267624" w:rsidRPr="00B734D2">
        <w:rPr>
          <w:i/>
          <w:sz w:val="18"/>
          <w:szCs w:val="18"/>
        </w:rPr>
        <w:t xml:space="preserve"> </w:t>
      </w:r>
    </w:p>
  </w:footnote>
  <w:footnote w:id="16">
    <w:p w14:paraId="2D07E3CD" w14:textId="77777777" w:rsidR="00413C78" w:rsidRPr="004F1639" w:rsidRDefault="00413C78" w:rsidP="00057084">
      <w:pPr>
        <w:pStyle w:val="FootnoteText"/>
        <w:rPr>
          <w:i/>
        </w:rPr>
      </w:pPr>
      <w:r w:rsidRPr="004F1639">
        <w:rPr>
          <w:rStyle w:val="FootnoteReference"/>
          <w:i/>
        </w:rPr>
        <w:footnoteRef/>
      </w:r>
      <w:r w:rsidRPr="004F1639">
        <w:rPr>
          <w:i/>
        </w:rPr>
        <w:t xml:space="preserve"> </w:t>
      </w:r>
      <w:hyperlink r:id="rId4" w:history="1">
        <w:r w:rsidRPr="004F1639">
          <w:rPr>
            <w:rStyle w:val="Hyperlink"/>
            <w:i/>
          </w:rPr>
          <w:t>https://www.desfa.gr/regulatory-framework/compliance/prostasia-prosopikwn-dedomenwn</w:t>
        </w:r>
      </w:hyperlink>
    </w:p>
  </w:footnote>
  <w:footnote w:id="17">
    <w:p w14:paraId="22BAED24" w14:textId="75BE247B" w:rsidR="00413C78" w:rsidRPr="00D76C6B" w:rsidRDefault="00413C78" w:rsidP="00D849C6">
      <w:pPr>
        <w:pStyle w:val="FootnoteText"/>
        <w:rPr>
          <w:lang w:val="en-US"/>
        </w:rPr>
      </w:pPr>
      <w:r>
        <w:rPr>
          <w:rStyle w:val="FootnoteReference"/>
        </w:rPr>
        <w:footnoteRef/>
      </w:r>
      <w:r w:rsidRPr="00D76C6B">
        <w:rPr>
          <w:lang w:val="en-US"/>
        </w:rPr>
        <w:t xml:space="preserve"> </w:t>
      </w:r>
      <w:r w:rsidR="0023394E" w:rsidRPr="00892890">
        <w:rPr>
          <w:lang w:val="en-US"/>
        </w:rPr>
        <w:t xml:space="preserve">To be completed by Applicant </w:t>
      </w:r>
      <w:r w:rsidR="0023394E">
        <w:rPr>
          <w:lang w:val="en-US"/>
        </w:rPr>
        <w:t xml:space="preserve">with </w:t>
      </w:r>
      <w:r w:rsidR="00931CA6">
        <w:t xml:space="preserve">the </w:t>
      </w:r>
      <w:r w:rsidR="00C83602">
        <w:t xml:space="preserve">NNGS </w:t>
      </w:r>
      <w:r w:rsidR="00931CA6" w:rsidRPr="00634A86">
        <w:t>Standard Transmission Agreement n</w:t>
      </w:r>
      <w:r w:rsidR="00931CA6">
        <w:t>umber</w:t>
      </w:r>
      <w:r w:rsidR="00602354">
        <w:rPr>
          <w:lang w:val="en-US"/>
        </w:rPr>
        <w:t>, if applicable</w:t>
      </w:r>
      <w:r w:rsidR="00602354" w:rsidDel="00931CA6">
        <w:rPr>
          <w:lang w:val="en-US"/>
        </w:rPr>
        <w:t xml:space="preserve"> </w:t>
      </w:r>
    </w:p>
  </w:footnote>
  <w:footnote w:id="18">
    <w:p w14:paraId="171273DB" w14:textId="6B0E0599" w:rsidR="003D2B77" w:rsidRPr="002677DA" w:rsidRDefault="003D2B77" w:rsidP="003D2B77">
      <w:pPr>
        <w:pStyle w:val="FootnoteText"/>
        <w:rPr>
          <w:lang w:val="en-US"/>
        </w:rPr>
      </w:pPr>
      <w:r>
        <w:rPr>
          <w:rStyle w:val="FootnoteReference"/>
        </w:rPr>
        <w:footnoteRef/>
      </w:r>
      <w:r w:rsidRPr="0042251A">
        <w:rPr>
          <w:lang w:val="en-US"/>
        </w:rPr>
        <w:t xml:space="preserve"> </w:t>
      </w:r>
      <w:r w:rsidR="0023394E" w:rsidRPr="00892890">
        <w:rPr>
          <w:lang w:val="en-US"/>
        </w:rPr>
        <w:t xml:space="preserve">To be completed by Applicant </w:t>
      </w:r>
      <w:r w:rsidR="0023394E">
        <w:rPr>
          <w:lang w:val="en-US"/>
        </w:rPr>
        <w:t xml:space="preserve">with </w:t>
      </w:r>
      <w:r>
        <w:rPr>
          <w:lang w:val="en-US"/>
        </w:rPr>
        <w:t xml:space="preserve">specific reference </w:t>
      </w:r>
      <w:r w:rsidR="00BE72B6">
        <w:rPr>
          <w:lang w:val="en-US"/>
        </w:rPr>
        <w:t>to</w:t>
      </w:r>
      <w:r>
        <w:rPr>
          <w:lang w:val="en-US"/>
        </w:rPr>
        <w:t xml:space="preserve"> the documents submitted, if applicable</w:t>
      </w:r>
    </w:p>
  </w:footnote>
  <w:footnote w:id="19">
    <w:p w14:paraId="5DF010C1" w14:textId="13F9BA24" w:rsidR="00FE3DBE" w:rsidRPr="00FE3DBE" w:rsidRDefault="00FE3DBE">
      <w:pPr>
        <w:pStyle w:val="FootnoteText"/>
      </w:pPr>
      <w:r>
        <w:rPr>
          <w:rStyle w:val="FootnoteReference"/>
        </w:rPr>
        <w:footnoteRef/>
      </w:r>
      <w:r>
        <w:t xml:space="preserve"> </w:t>
      </w:r>
      <w:r w:rsidR="0023394E" w:rsidRPr="00892890">
        <w:rPr>
          <w:lang w:val="en-US"/>
        </w:rPr>
        <w:t xml:space="preserve">To be completed by Applicant with </w:t>
      </w:r>
      <w:r w:rsidR="0023394E">
        <w:rPr>
          <w:lang w:val="en-US"/>
        </w:rPr>
        <w:t>specific</w:t>
      </w:r>
      <w:r w:rsidR="0023394E" w:rsidRPr="00892890">
        <w:rPr>
          <w:lang w:val="en-US"/>
        </w:rPr>
        <w:t xml:space="preserve"> reference </w:t>
      </w:r>
      <w:r w:rsidR="00BE72B6" w:rsidRPr="00892890">
        <w:rPr>
          <w:lang w:val="en-US"/>
        </w:rPr>
        <w:t>to</w:t>
      </w:r>
      <w:r w:rsidR="0023394E" w:rsidRPr="00892890">
        <w:rPr>
          <w:lang w:val="en-US"/>
        </w:rPr>
        <w:t xml:space="preserve"> the documents submitted</w:t>
      </w:r>
      <w:r w:rsidR="0023394E">
        <w:rPr>
          <w:lang w:val="en-US"/>
        </w:rPr>
        <w:t>, as the case may be</w:t>
      </w:r>
    </w:p>
  </w:footnote>
  <w:footnote w:id="20">
    <w:p w14:paraId="351965F5" w14:textId="6E66BEC8" w:rsidR="006A51B0" w:rsidRPr="001A64A1" w:rsidRDefault="006A51B0">
      <w:pPr>
        <w:pStyle w:val="FootnoteText"/>
        <w:rPr>
          <w:lang w:val="en-US"/>
        </w:rPr>
      </w:pPr>
      <w:r>
        <w:rPr>
          <w:rStyle w:val="FootnoteReference"/>
        </w:rPr>
        <w:footnoteRef/>
      </w:r>
      <w:r>
        <w:t xml:space="preserve"> </w:t>
      </w:r>
      <w:r w:rsidR="00FE3DBE" w:rsidRPr="00B43934">
        <w:rPr>
          <w:lang w:val="en-US"/>
        </w:rPr>
        <w:t xml:space="preserve">To be completed by Applicant with specific reference </w:t>
      </w:r>
      <w:r w:rsidR="00BE72B6" w:rsidRPr="00892890">
        <w:rPr>
          <w:lang w:val="en-US"/>
        </w:rPr>
        <w:t>to</w:t>
      </w:r>
      <w:r w:rsidR="000D4257" w:rsidRPr="00892890">
        <w:rPr>
          <w:lang w:val="en-US"/>
        </w:rPr>
        <w:t xml:space="preserve"> </w:t>
      </w:r>
      <w:r w:rsidR="00FE3DBE" w:rsidRPr="00B43934">
        <w:rPr>
          <w:lang w:val="en-US"/>
        </w:rPr>
        <w:t>the documents submitted</w:t>
      </w:r>
    </w:p>
  </w:footnote>
  <w:footnote w:id="21">
    <w:p w14:paraId="6EBB61E8" w14:textId="77777777" w:rsidR="00312023" w:rsidRPr="00C17C32" w:rsidRDefault="00312023" w:rsidP="00312023">
      <w:pPr>
        <w:pStyle w:val="FootnoteText"/>
        <w:rPr>
          <w:lang w:val="en-US"/>
        </w:rPr>
      </w:pPr>
      <w:r>
        <w:rPr>
          <w:rStyle w:val="FootnoteReference"/>
        </w:rPr>
        <w:footnoteRef/>
      </w:r>
      <w:r w:rsidRPr="00226436">
        <w:rPr>
          <w:lang w:val="en-US"/>
        </w:rPr>
        <w:t xml:space="preserve"> </w:t>
      </w:r>
      <w:hyperlink r:id="rId5" w:history="1">
        <w:r w:rsidRPr="00376C5C">
          <w:rPr>
            <w:rStyle w:val="Hyperlink"/>
            <w:rFonts w:asciiTheme="minorHAnsi" w:hAnsiTheme="minorHAnsi" w:cstheme="minorHAnsi"/>
            <w:lang w:val="en-US"/>
          </w:rPr>
          <w:t>https://www.desfa.gr/regulatory-framework/compliance/prostasia-prosopikwn-dedomenwn</w:t>
        </w:r>
      </w:hyperlink>
    </w:p>
    <w:p w14:paraId="25A7ED1B" w14:textId="77777777" w:rsidR="00312023" w:rsidRPr="00226436" w:rsidRDefault="00312023" w:rsidP="00312023">
      <w:pPr>
        <w:pStyle w:val="FootnoteText"/>
        <w:rPr>
          <w:lang w:val="en-US"/>
        </w:rPr>
      </w:pPr>
    </w:p>
  </w:footnote>
  <w:footnote w:id="22">
    <w:p w14:paraId="6897E95D" w14:textId="287D023B" w:rsidR="005F5F3C" w:rsidRPr="005F5F3C" w:rsidRDefault="005F5F3C">
      <w:pPr>
        <w:pStyle w:val="FootnoteText"/>
      </w:pPr>
      <w:r>
        <w:rPr>
          <w:rStyle w:val="FootnoteReference"/>
        </w:rPr>
        <w:footnoteRef/>
      </w:r>
      <w:r>
        <w:t xml:space="preserve"> In case </w:t>
      </w:r>
      <w:r w:rsidR="00EA1C3E">
        <w:t>there is no Allocated Capacity at</w:t>
      </w:r>
      <w:r w:rsidR="007072F4">
        <w:t xml:space="preserve"> </w:t>
      </w:r>
      <w:r w:rsidR="007072F4" w:rsidRPr="007072F4">
        <w:t>Kulata/Sidirokastro IP and Komotini IP</w:t>
      </w:r>
      <w:r w:rsidR="009C5ACA">
        <w:t xml:space="preserve">, paragraph B of the preamble shall be deleted and the </w:t>
      </w:r>
      <w:r w:rsidR="00CD1E4E">
        <w:t>following paragraphs of the preamble</w:t>
      </w:r>
      <w:r w:rsidR="00385E74">
        <w:t xml:space="preserve"> sh</w:t>
      </w:r>
      <w:r w:rsidR="00475FE9">
        <w:t xml:space="preserve">all </w:t>
      </w:r>
      <w:r w:rsidR="001C7819">
        <w:t xml:space="preserve">be </w:t>
      </w:r>
      <w:r w:rsidR="00475FE9">
        <w:t>number</w:t>
      </w:r>
      <w:r w:rsidR="001C7819">
        <w:t>ed</w:t>
      </w:r>
      <w:r w:rsidR="00475FE9">
        <w:t xml:space="preserve"> accordingly.</w:t>
      </w:r>
    </w:p>
  </w:footnote>
  <w:footnote w:id="23">
    <w:p w14:paraId="0A1CFAD0" w14:textId="6EDBF4A8" w:rsidR="007D10A0" w:rsidRPr="007D10A0" w:rsidRDefault="007D10A0">
      <w:pPr>
        <w:pStyle w:val="FootnoteText"/>
      </w:pPr>
      <w:r>
        <w:rPr>
          <w:rStyle w:val="FootnoteReference"/>
        </w:rPr>
        <w:footnoteRef/>
      </w:r>
      <w:r>
        <w:t xml:space="preserve"> In case there is no Allocated Capacity at </w:t>
      </w:r>
      <w:r w:rsidRPr="007072F4">
        <w:t>Kulata/Sidirokastro IP and Komotini IP</w:t>
      </w:r>
      <w:r>
        <w:t xml:space="preserve">, </w:t>
      </w:r>
      <w:r w:rsidR="00861A43">
        <w:t>none of the three c</w:t>
      </w:r>
      <w:r w:rsidR="00A623C7">
        <w:t>as</w:t>
      </w:r>
      <w:r w:rsidR="00861A43">
        <w:t>es</w:t>
      </w:r>
      <w:r w:rsidR="00A623C7">
        <w:t xml:space="preserve"> shall be selected and the </w:t>
      </w:r>
      <w:r w:rsidR="000C0743">
        <w:t>square brackets along with the content</w:t>
      </w:r>
      <w:r w:rsidR="00EF7C07">
        <w:t xml:space="preserve"> </w:t>
      </w:r>
      <w:r>
        <w:t>shall be deleted.</w:t>
      </w:r>
    </w:p>
  </w:footnote>
  <w:footnote w:id="24">
    <w:p w14:paraId="1B818234" w14:textId="6FC251C9" w:rsidR="00450048" w:rsidRPr="00F14143" w:rsidRDefault="00450048">
      <w:pPr>
        <w:pStyle w:val="FootnoteText"/>
        <w:rPr>
          <w:lang w:val="en-US"/>
        </w:rPr>
      </w:pPr>
      <w:r>
        <w:rPr>
          <w:rStyle w:val="FootnoteReference"/>
        </w:rPr>
        <w:footnoteRef/>
      </w:r>
      <w:r>
        <w:t xml:space="preserve"> </w:t>
      </w:r>
      <w:r w:rsidRPr="00EC2012">
        <w:t>Especially for the Kulata/Sidirokastro IP</w:t>
      </w:r>
      <w:r>
        <w:t xml:space="preserve"> and </w:t>
      </w:r>
      <w:r w:rsidRPr="00F14143">
        <w:t>in case of Allocated Capacity for “Partial Expansion Offer Level”</w:t>
      </w:r>
      <w:r w:rsidRPr="00450048">
        <w:t xml:space="preserve"> </w:t>
      </w:r>
      <w:r>
        <w:t xml:space="preserve">the </w:t>
      </w:r>
      <w:r w:rsidRPr="00450048">
        <w:t xml:space="preserve">COD </w:t>
      </w:r>
      <w:r w:rsidR="00ED1F60" w:rsidRPr="00EC2012">
        <w:t>for the Kulata/Sidirokastro IP</w:t>
      </w:r>
      <w:r w:rsidR="00ED1F60">
        <w:t xml:space="preserve"> </w:t>
      </w:r>
      <w:r w:rsidRPr="00450048">
        <w:t>is set to be the</w:t>
      </w:r>
      <w:r w:rsidR="007F5617">
        <w:t xml:space="preserve"> </w:t>
      </w:r>
      <w:r w:rsidR="007F5617" w:rsidRPr="007F5617">
        <w:t>01.10.2029</w:t>
      </w:r>
      <w:r w:rsidR="007F5617">
        <w:t>.</w:t>
      </w:r>
    </w:p>
  </w:footnote>
  <w:footnote w:id="25">
    <w:p w14:paraId="56926316" w14:textId="6C52181C" w:rsidR="00E11AA4" w:rsidRPr="00E11AA4" w:rsidRDefault="00E11AA4">
      <w:pPr>
        <w:pStyle w:val="FootnoteText"/>
      </w:pPr>
      <w:r>
        <w:rPr>
          <w:rStyle w:val="FootnoteReference"/>
        </w:rPr>
        <w:footnoteRef/>
      </w:r>
      <w:r>
        <w:t xml:space="preserve"> </w:t>
      </w:r>
      <w:r w:rsidRPr="00EC2012">
        <w:t xml:space="preserve">Especially for the </w:t>
      </w:r>
      <w:r w:rsidRPr="00267F78">
        <w:t xml:space="preserve">Komotini IP </w:t>
      </w:r>
      <w:r>
        <w:t xml:space="preserve">and </w:t>
      </w:r>
      <w:r w:rsidRPr="00E90574">
        <w:t xml:space="preserve">in case of Allocated Capacity for </w:t>
      </w:r>
      <w:r>
        <w:t xml:space="preserve">Coupled Capacity as of 01.01.2027 and until the </w:t>
      </w:r>
      <w:r w:rsidR="0083613F">
        <w:t>starting date of the respective Offer Level</w:t>
      </w:r>
      <w:r>
        <w:t xml:space="preserve">, </w:t>
      </w:r>
      <w:r w:rsidR="00270DBE">
        <w:t xml:space="preserve">the COD for </w:t>
      </w:r>
      <w:r>
        <w:t xml:space="preserve">said Allocated Capacity </w:t>
      </w:r>
      <w:r w:rsidR="00FD52DB" w:rsidRPr="00FD52DB">
        <w:t xml:space="preserve">is hereby set to be the </w:t>
      </w:r>
      <w:r>
        <w:t>01.01.2027 [in case Allocated Capacity starts on Gas Year 2026/27], 01.10.2027 [in case Allocated Capacity starts on Gas Year 2027/28] or 01.10.2028 [in case Allocated Capacity starts on Gas Year 2028/29].</w:t>
      </w:r>
    </w:p>
  </w:footnote>
  <w:footnote w:id="26">
    <w:p w14:paraId="51F8A0C0" w14:textId="14EA313C" w:rsidR="004643CE" w:rsidRPr="00535747" w:rsidRDefault="004643CE">
      <w:pPr>
        <w:pStyle w:val="FootnoteText"/>
        <w:rPr>
          <w:lang w:val="en-US"/>
        </w:rPr>
      </w:pPr>
      <w:r>
        <w:rPr>
          <w:rStyle w:val="FootnoteReference"/>
        </w:rPr>
        <w:footnoteRef/>
      </w:r>
      <w:r>
        <w:t xml:space="preserve"> </w:t>
      </w:r>
      <w:r>
        <w:rPr>
          <w:lang w:val="en-US"/>
        </w:rPr>
        <w:t>C</w:t>
      </w:r>
      <w:r w:rsidRPr="004643CE">
        <w:t xml:space="preserve">hoose among (i) to (ix) as appropriate: (i) Kulata/Sidirokastro IP (Exit DESFA), (ii) Komotini IP (Exit DESFA) , (iii) Nea Messimvria IP (Exit DESFA), (iv) Nea Messimvria IP (Entry DESFA), (v) Amfitriti entry point (Entry DESFA), (vi) Kipi IP (Entry DESFA), (vii) New </w:t>
      </w:r>
      <w:r w:rsidR="00A15674">
        <w:t>e</w:t>
      </w:r>
      <w:r w:rsidRPr="004643CE">
        <w:t xml:space="preserve">ntry Point ELPEDISON FSRU (Entry DESFA), (viii) New </w:t>
      </w:r>
      <w:r w:rsidR="00A15674">
        <w:t>e</w:t>
      </w:r>
      <w:r w:rsidRPr="004643CE">
        <w:t xml:space="preserve">ntry </w:t>
      </w:r>
      <w:r w:rsidR="00A15674">
        <w:t>p</w:t>
      </w:r>
      <w:r w:rsidRPr="004643CE">
        <w:t xml:space="preserve">oint – ARGO FSRU (Entry DESFA) and (ix) New </w:t>
      </w:r>
      <w:r w:rsidR="00A15674">
        <w:t>e</w:t>
      </w:r>
      <w:r w:rsidRPr="004643CE">
        <w:t xml:space="preserve">ntry </w:t>
      </w:r>
      <w:r w:rsidR="00A15674">
        <w:t>p</w:t>
      </w:r>
      <w:r w:rsidRPr="004643CE">
        <w:t>oint – DIORYGA GAS FSRU (Entry DESFA)</w:t>
      </w:r>
      <w:r>
        <w:t>. I</w:t>
      </w:r>
      <w:r w:rsidRPr="004643CE">
        <w:t xml:space="preserve">n case of Linked Bid, along with the </w:t>
      </w:r>
      <w:r w:rsidR="002A47AB">
        <w:t>e</w:t>
      </w:r>
      <w:r w:rsidRPr="004643CE">
        <w:t xml:space="preserve">ntry </w:t>
      </w:r>
      <w:r w:rsidR="002A47AB">
        <w:t>p</w:t>
      </w:r>
      <w:r w:rsidRPr="004643CE">
        <w:t xml:space="preserve">oint </w:t>
      </w:r>
      <w:r w:rsidR="00FA44B6">
        <w:t xml:space="preserve">indicate </w:t>
      </w:r>
      <w:r w:rsidRPr="004643CE">
        <w:t>the linked Exit Point</w:t>
      </w:r>
      <w:r w:rsidR="00FA44B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5C5A" w14:textId="0AB562D3" w:rsidR="00C514E1" w:rsidRPr="00BE4693" w:rsidRDefault="00C514E1" w:rsidP="00C514E1">
    <w:pPr>
      <w:pStyle w:val="Header"/>
      <w:ind w:left="-107"/>
      <w:rPr>
        <w:i/>
      </w:rPr>
    </w:pPr>
    <w:r>
      <w:rPr>
        <w:i/>
        <w:noProof/>
      </w:rPr>
      <w:drawing>
        <wp:anchor distT="0" distB="0" distL="114300" distR="114300" simplePos="0" relativeHeight="251658241" behindDoc="1" locked="0" layoutInCell="1" allowOverlap="1" wp14:anchorId="51A89B7E" wp14:editId="1E8AC203">
          <wp:simplePos x="0" y="0"/>
          <wp:positionH relativeFrom="column">
            <wp:posOffset>-151296</wp:posOffset>
          </wp:positionH>
          <wp:positionV relativeFrom="paragraph">
            <wp:posOffset>174487</wp:posOffset>
          </wp:positionV>
          <wp:extent cx="1310005" cy="387350"/>
          <wp:effectExtent l="0" t="0" r="4445" b="0"/>
          <wp:wrapNone/>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05" cy="38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24F8E" w14:textId="5EDD7DB6" w:rsidR="00BA4D60" w:rsidRDefault="00BA4D60" w:rsidP="00BA4D60">
    <w:pPr>
      <w:pStyle w:val="Header"/>
      <w:ind w:right="-10" w:firstLine="3686"/>
      <w:jc w:val="right"/>
      <w:rPr>
        <w:i/>
        <w:color w:val="0070C0"/>
        <w:lang w:val="en-US"/>
      </w:rPr>
    </w:pPr>
    <w:r w:rsidRPr="00BE4693">
      <w:rPr>
        <w:i/>
        <w:color w:val="0070C0"/>
        <w:lang w:val="en-US"/>
      </w:rPr>
      <w:t xml:space="preserve">Binding Phase Notice of DESFA for the </w:t>
    </w:r>
    <w:r>
      <w:rPr>
        <w:i/>
        <w:color w:val="0070C0"/>
        <w:lang w:val="en-US"/>
      </w:rPr>
      <w:t>Market Test Process for the expansion of the NNGS</w:t>
    </w:r>
  </w:p>
  <w:p w14:paraId="722CCB0C" w14:textId="739718E8" w:rsidR="00C514E1" w:rsidRPr="00BE4693" w:rsidRDefault="00C514E1" w:rsidP="00C514E1">
    <w:pPr>
      <w:pStyle w:val="Header"/>
      <w:spacing w:after="120"/>
      <w:ind w:right="-11"/>
      <w:jc w:val="right"/>
      <w:rPr>
        <w:i/>
        <w:color w:val="0070C0"/>
        <w:lang w:val="en-US"/>
      </w:rPr>
    </w:pPr>
    <w:r>
      <w:rPr>
        <w:i/>
        <w:color w:val="0070C0"/>
        <w:lang w:val="en-US"/>
      </w:rPr>
      <w:br/>
    </w:r>
    <w:r w:rsidR="00000000">
      <w:rPr>
        <w:i/>
        <w:color w:val="0070C0"/>
        <w:lang w:val="en-US"/>
      </w:rPr>
      <w:pict w14:anchorId="6142A5CF">
        <v:rect id="_x0000_i1025" style="width:0;height:1.5pt" o:hralign="center" o:hrstd="t" o:hr="t" fillcolor="#a0a0a0" stroked="f"/>
      </w:pict>
    </w:r>
  </w:p>
  <w:p w14:paraId="6FB723BA" w14:textId="2BD82C1C" w:rsidR="00C514E1" w:rsidRPr="00C514E1" w:rsidRDefault="00C514E1">
    <w:pPr>
      <w:pStyle w:val="Header"/>
      <w:rPr>
        <w:i/>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92F8" w14:textId="65E1F359" w:rsidR="00131333" w:rsidRPr="00BE4693" w:rsidRDefault="00C514E1" w:rsidP="00131333">
    <w:pPr>
      <w:pStyle w:val="Header"/>
      <w:ind w:left="-107"/>
      <w:rPr>
        <w:i/>
      </w:rPr>
    </w:pPr>
    <w:r>
      <w:rPr>
        <w:i/>
        <w:noProof/>
      </w:rPr>
      <w:drawing>
        <wp:anchor distT="0" distB="0" distL="114300" distR="114300" simplePos="0" relativeHeight="251658242" behindDoc="1" locked="0" layoutInCell="1" allowOverlap="1" wp14:anchorId="28417E11" wp14:editId="73A5A120">
          <wp:simplePos x="0" y="0"/>
          <wp:positionH relativeFrom="column">
            <wp:posOffset>-113365</wp:posOffset>
          </wp:positionH>
          <wp:positionV relativeFrom="paragraph">
            <wp:posOffset>150528</wp:posOffset>
          </wp:positionV>
          <wp:extent cx="1310045" cy="387942"/>
          <wp:effectExtent l="0" t="0" r="4445"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45" cy="387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67BEB1" w14:textId="72920EB2" w:rsidR="00C514E1" w:rsidRDefault="00131333" w:rsidP="00897D76">
    <w:pPr>
      <w:pStyle w:val="Header"/>
      <w:ind w:right="-10" w:firstLine="3686"/>
      <w:jc w:val="right"/>
      <w:rPr>
        <w:i/>
        <w:color w:val="0070C0"/>
        <w:lang w:val="en-US"/>
      </w:rPr>
    </w:pPr>
    <w:r w:rsidRPr="00BE4693">
      <w:rPr>
        <w:i/>
        <w:color w:val="0070C0"/>
        <w:lang w:val="en-US"/>
      </w:rPr>
      <w:t xml:space="preserve">Binding Phase Notice of DESFA for the </w:t>
    </w:r>
    <w:r w:rsidR="006338F3">
      <w:rPr>
        <w:i/>
        <w:color w:val="0070C0"/>
        <w:lang w:val="en-US"/>
      </w:rPr>
      <w:t xml:space="preserve">Market Test Process for the expansion </w:t>
    </w:r>
    <w:r w:rsidR="00B670E0">
      <w:rPr>
        <w:i/>
        <w:color w:val="0070C0"/>
        <w:lang w:val="en-US"/>
      </w:rPr>
      <w:t>of the NNGS</w:t>
    </w:r>
  </w:p>
  <w:p w14:paraId="2A7D3200" w14:textId="19F8A4B4" w:rsidR="00131333" w:rsidRPr="00BE4693" w:rsidRDefault="00000000" w:rsidP="00C514E1">
    <w:pPr>
      <w:pStyle w:val="Header"/>
      <w:ind w:right="-10"/>
      <w:jc w:val="right"/>
      <w:rPr>
        <w:i/>
        <w:color w:val="0070C0"/>
        <w:lang w:val="en-US"/>
      </w:rPr>
    </w:pPr>
    <w:r>
      <w:rPr>
        <w:i/>
        <w:color w:val="0070C0"/>
        <w:lang w:val="en-US"/>
      </w:rPr>
      <w:pict w14:anchorId="53846A8E">
        <v:rect id="_x0000_i1026" style="width:0;height:1.5pt" o:hralign="center" o:hrstd="t" o:hr="t" fillcolor="#a0a0a0" stroked="f"/>
      </w:pict>
    </w:r>
  </w:p>
  <w:p w14:paraId="42E77CE7" w14:textId="433251E2" w:rsidR="00131333" w:rsidRPr="00131333" w:rsidRDefault="00131333" w:rsidP="00C514E1">
    <w:pPr>
      <w:pStyle w:val="Header"/>
      <w:rPr>
        <w: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8" w:type="dxa"/>
      <w:tblInd w:w="-147" w:type="dxa"/>
      <w:tblBorders>
        <w:bottom w:val="single" w:sz="4" w:space="0" w:color="1F3864"/>
      </w:tblBorders>
      <w:tblLayout w:type="fixed"/>
      <w:tblLook w:val="06A0" w:firstRow="1" w:lastRow="0" w:firstColumn="1" w:lastColumn="0" w:noHBand="1" w:noVBand="1"/>
    </w:tblPr>
    <w:tblGrid>
      <w:gridCol w:w="3135"/>
      <w:gridCol w:w="6783"/>
    </w:tblGrid>
    <w:tr w:rsidR="00413C78" w:rsidRPr="00BE4693" w14:paraId="7FBF2DC6" w14:textId="77777777" w:rsidTr="00192F18">
      <w:tc>
        <w:tcPr>
          <w:tcW w:w="3135" w:type="dxa"/>
        </w:tcPr>
        <w:p w14:paraId="0100F886" w14:textId="5E8D0B41" w:rsidR="00413C78" w:rsidRPr="00BE4693" w:rsidRDefault="00413C78" w:rsidP="00703447">
          <w:pPr>
            <w:pStyle w:val="Header"/>
            <w:ind w:left="-107"/>
            <w:rPr>
              <w:i/>
            </w:rPr>
          </w:pPr>
        </w:p>
      </w:tc>
      <w:tc>
        <w:tcPr>
          <w:tcW w:w="6783" w:type="dxa"/>
          <w:vAlign w:val="bottom"/>
        </w:tcPr>
        <w:p w14:paraId="1D4AD691" w14:textId="77777777" w:rsidR="00413C78" w:rsidRPr="00BE4693" w:rsidRDefault="00413C78" w:rsidP="00EE32C5">
          <w:pPr>
            <w:pStyle w:val="Header"/>
            <w:ind w:right="-115"/>
            <w:jc w:val="right"/>
            <w:rPr>
              <w:i/>
              <w:color w:val="0070C0"/>
              <w:lang w:val="en-US"/>
            </w:rPr>
          </w:pPr>
          <w:r w:rsidRPr="00BE4693">
            <w:rPr>
              <w:i/>
              <w:color w:val="0070C0"/>
              <w:lang w:val="en-US"/>
            </w:rPr>
            <w:t xml:space="preserve">Binding Phase Notice of DESFA for the offer </w:t>
          </w:r>
        </w:p>
        <w:p w14:paraId="5B1640C2" w14:textId="77777777" w:rsidR="00413C78" w:rsidRPr="00BE4693" w:rsidRDefault="00413C78" w:rsidP="00EE32C5">
          <w:pPr>
            <w:pStyle w:val="Header"/>
            <w:ind w:right="-115"/>
            <w:jc w:val="right"/>
            <w:rPr>
              <w:i/>
              <w:color w:val="0070C0"/>
              <w:lang w:val="en-US"/>
            </w:rPr>
          </w:pPr>
          <w:r w:rsidRPr="00BE4693">
            <w:rPr>
              <w:i/>
              <w:color w:val="0070C0"/>
              <w:lang w:val="en-US"/>
            </w:rPr>
            <w:t>of Incremental Capacity</w:t>
          </w:r>
          <w:r>
            <w:rPr>
              <w:i/>
              <w:color w:val="0070C0"/>
              <w:lang w:val="en-US"/>
            </w:rPr>
            <w:t xml:space="preserve"> at </w:t>
          </w:r>
          <w:r w:rsidRPr="00BE4693">
            <w:rPr>
              <w:i/>
              <w:color w:val="0070C0"/>
              <w:lang w:val="en-US"/>
            </w:rPr>
            <w:t xml:space="preserve">Nea </w:t>
          </w:r>
          <w:r>
            <w:rPr>
              <w:i/>
              <w:color w:val="0070C0"/>
              <w:lang w:val="en-US"/>
            </w:rPr>
            <w:t>Mesimvria</w:t>
          </w:r>
          <w:r w:rsidRPr="00BE4693">
            <w:rPr>
              <w:i/>
              <w:color w:val="0070C0"/>
              <w:lang w:val="en-US"/>
            </w:rPr>
            <w:t xml:space="preserve"> Interconnection Point</w:t>
          </w:r>
        </w:p>
      </w:tc>
    </w:tr>
  </w:tbl>
  <w:p w14:paraId="644BFE9D" w14:textId="63F5B6BF" w:rsidR="00413C78" w:rsidRPr="00BE4693" w:rsidRDefault="00131333">
    <w:pPr>
      <w:pStyle w:val="Header"/>
      <w:rPr>
        <w:i/>
        <w:lang w:val="en-US"/>
      </w:rPr>
    </w:pPr>
    <w:r>
      <w:rPr>
        <w:i/>
        <w:noProof/>
      </w:rPr>
      <w:drawing>
        <wp:anchor distT="0" distB="0" distL="114300" distR="114300" simplePos="0" relativeHeight="251658240" behindDoc="1" locked="0" layoutInCell="1" allowOverlap="1" wp14:anchorId="76B96F06" wp14:editId="349AEEEE">
          <wp:simplePos x="0" y="0"/>
          <wp:positionH relativeFrom="column">
            <wp:posOffset>-206284</wp:posOffset>
          </wp:positionH>
          <wp:positionV relativeFrom="paragraph">
            <wp:posOffset>-394335</wp:posOffset>
          </wp:positionV>
          <wp:extent cx="1310045" cy="387942"/>
          <wp:effectExtent l="0" t="0" r="4445"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45" cy="387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042487" w14:textId="77777777" w:rsidR="00032FD5" w:rsidRDefault="00032F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AE2"/>
    <w:multiLevelType w:val="multilevel"/>
    <w:tmpl w:val="E334C550"/>
    <w:styleLink w:val="Style7"/>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64C38B1"/>
    <w:multiLevelType w:val="multilevel"/>
    <w:tmpl w:val="01B4BDDC"/>
    <w:lvl w:ilvl="0">
      <w:start w:val="5"/>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01957"/>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2336C7"/>
    <w:multiLevelType w:val="multilevel"/>
    <w:tmpl w:val="BD10A062"/>
    <w:lvl w:ilvl="0">
      <w:start w:val="1"/>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F0FEC"/>
    <w:multiLevelType w:val="multilevel"/>
    <w:tmpl w:val="93769E6C"/>
    <w:lvl w:ilvl="0">
      <w:start w:val="4"/>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F32AC"/>
    <w:multiLevelType w:val="multilevel"/>
    <w:tmpl w:val="5B30C714"/>
    <w:lvl w:ilvl="0">
      <w:start w:val="9"/>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F27CB1"/>
    <w:multiLevelType w:val="multilevel"/>
    <w:tmpl w:val="DFFC4E00"/>
    <w:lvl w:ilvl="0">
      <w:start w:val="12"/>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5D0BB8"/>
    <w:multiLevelType w:val="multilevel"/>
    <w:tmpl w:val="89B675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97235C"/>
    <w:multiLevelType w:val="multilevel"/>
    <w:tmpl w:val="8FD426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AB7525"/>
    <w:multiLevelType w:val="hybridMultilevel"/>
    <w:tmpl w:val="37DA2A68"/>
    <w:lvl w:ilvl="0" w:tplc="23FCDFC8">
      <w:start w:val="1"/>
      <w:numFmt w:val="lowerLetter"/>
      <w:pStyle w:val="a-Leve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7E29A1"/>
    <w:multiLevelType w:val="hybridMultilevel"/>
    <w:tmpl w:val="780CF382"/>
    <w:lvl w:ilvl="0" w:tplc="4F2475B6">
      <w:start w:val="1"/>
      <w:numFmt w:val="lowerLetter"/>
      <w:lvlText w:val="%1)"/>
      <w:lvlJc w:val="left"/>
      <w:pPr>
        <w:ind w:left="720" w:hanging="360"/>
      </w:pPr>
    </w:lvl>
    <w:lvl w:ilvl="1" w:tplc="3D8CB09A">
      <w:start w:val="1"/>
      <w:numFmt w:val="lowerLetter"/>
      <w:lvlText w:val="%2)"/>
      <w:lvlJc w:val="left"/>
      <w:pPr>
        <w:ind w:left="720" w:hanging="360"/>
      </w:pPr>
    </w:lvl>
    <w:lvl w:ilvl="2" w:tplc="826A9B3E">
      <w:start w:val="1"/>
      <w:numFmt w:val="lowerLetter"/>
      <w:lvlText w:val="%3)"/>
      <w:lvlJc w:val="left"/>
      <w:pPr>
        <w:ind w:left="720" w:hanging="360"/>
      </w:pPr>
    </w:lvl>
    <w:lvl w:ilvl="3" w:tplc="1938CC80">
      <w:start w:val="1"/>
      <w:numFmt w:val="lowerLetter"/>
      <w:lvlText w:val="%4)"/>
      <w:lvlJc w:val="left"/>
      <w:pPr>
        <w:ind w:left="720" w:hanging="360"/>
      </w:pPr>
    </w:lvl>
    <w:lvl w:ilvl="4" w:tplc="03A89BBE">
      <w:start w:val="1"/>
      <w:numFmt w:val="lowerLetter"/>
      <w:lvlText w:val="%5)"/>
      <w:lvlJc w:val="left"/>
      <w:pPr>
        <w:ind w:left="720" w:hanging="360"/>
      </w:pPr>
    </w:lvl>
    <w:lvl w:ilvl="5" w:tplc="30C8D7A2">
      <w:start w:val="1"/>
      <w:numFmt w:val="lowerLetter"/>
      <w:lvlText w:val="%6)"/>
      <w:lvlJc w:val="left"/>
      <w:pPr>
        <w:ind w:left="720" w:hanging="360"/>
      </w:pPr>
    </w:lvl>
    <w:lvl w:ilvl="6" w:tplc="F3989EE0">
      <w:start w:val="1"/>
      <w:numFmt w:val="lowerLetter"/>
      <w:lvlText w:val="%7)"/>
      <w:lvlJc w:val="left"/>
      <w:pPr>
        <w:ind w:left="720" w:hanging="360"/>
      </w:pPr>
    </w:lvl>
    <w:lvl w:ilvl="7" w:tplc="5F6AE6A2">
      <w:start w:val="1"/>
      <w:numFmt w:val="lowerLetter"/>
      <w:lvlText w:val="%8)"/>
      <w:lvlJc w:val="left"/>
      <w:pPr>
        <w:ind w:left="720" w:hanging="360"/>
      </w:pPr>
    </w:lvl>
    <w:lvl w:ilvl="8" w:tplc="73841D7A">
      <w:start w:val="1"/>
      <w:numFmt w:val="lowerLetter"/>
      <w:lvlText w:val="%9)"/>
      <w:lvlJc w:val="left"/>
      <w:pPr>
        <w:ind w:left="720" w:hanging="360"/>
      </w:pPr>
    </w:lvl>
  </w:abstractNum>
  <w:abstractNum w:abstractNumId="13" w15:restartNumberingAfterBreak="0">
    <w:nsid w:val="1B3C78B8"/>
    <w:multiLevelType w:val="hybridMultilevel"/>
    <w:tmpl w:val="2ED4F4D0"/>
    <w:name w:val="Point"/>
    <w:lvl w:ilvl="0" w:tplc="66C03FD6">
      <w:start w:val="1"/>
      <w:numFmt w:val="decimal"/>
      <w:lvlRestart w:val="0"/>
      <w:pStyle w:val="Point0number"/>
      <w:lvlText w:val="(%1)"/>
      <w:lvlJc w:val="left"/>
      <w:pPr>
        <w:tabs>
          <w:tab w:val="num" w:pos="850"/>
        </w:tabs>
        <w:ind w:left="850" w:hanging="850"/>
      </w:pPr>
    </w:lvl>
    <w:lvl w:ilvl="1" w:tplc="5E624176">
      <w:start w:val="1"/>
      <w:numFmt w:val="lowerLetter"/>
      <w:pStyle w:val="Point0letter"/>
      <w:lvlText w:val="(%2)"/>
      <w:lvlJc w:val="left"/>
      <w:pPr>
        <w:tabs>
          <w:tab w:val="num" w:pos="850"/>
        </w:tabs>
        <w:ind w:left="850" w:hanging="850"/>
      </w:pPr>
    </w:lvl>
    <w:lvl w:ilvl="2" w:tplc="CFA2F64A">
      <w:start w:val="1"/>
      <w:numFmt w:val="decimal"/>
      <w:pStyle w:val="Point1number"/>
      <w:lvlText w:val="(%3)"/>
      <w:lvlJc w:val="left"/>
      <w:pPr>
        <w:tabs>
          <w:tab w:val="num" w:pos="1417"/>
        </w:tabs>
        <w:ind w:left="1417" w:hanging="567"/>
      </w:pPr>
    </w:lvl>
    <w:lvl w:ilvl="3" w:tplc="2A6AA634">
      <w:start w:val="1"/>
      <w:numFmt w:val="lowerLetter"/>
      <w:pStyle w:val="Point1letter"/>
      <w:lvlText w:val="(%4)"/>
      <w:lvlJc w:val="left"/>
      <w:pPr>
        <w:tabs>
          <w:tab w:val="num" w:pos="1417"/>
        </w:tabs>
        <w:ind w:left="1417" w:hanging="567"/>
      </w:pPr>
    </w:lvl>
    <w:lvl w:ilvl="4" w:tplc="84ECBB26">
      <w:start w:val="1"/>
      <w:numFmt w:val="decimal"/>
      <w:pStyle w:val="Point2number"/>
      <w:lvlText w:val="(%5)"/>
      <w:lvlJc w:val="left"/>
      <w:pPr>
        <w:tabs>
          <w:tab w:val="num" w:pos="1984"/>
        </w:tabs>
        <w:ind w:left="1984" w:hanging="567"/>
      </w:pPr>
    </w:lvl>
    <w:lvl w:ilvl="5" w:tplc="4CE2CCB6">
      <w:start w:val="1"/>
      <w:numFmt w:val="lowerLetter"/>
      <w:pStyle w:val="Point2letter"/>
      <w:lvlText w:val="(%6)"/>
      <w:lvlJc w:val="left"/>
      <w:pPr>
        <w:tabs>
          <w:tab w:val="num" w:pos="1984"/>
        </w:tabs>
        <w:ind w:left="1984" w:hanging="567"/>
      </w:pPr>
    </w:lvl>
    <w:lvl w:ilvl="6" w:tplc="EBEE91DC">
      <w:start w:val="1"/>
      <w:numFmt w:val="decimal"/>
      <w:pStyle w:val="Point3number"/>
      <w:lvlText w:val="(%7)"/>
      <w:lvlJc w:val="left"/>
      <w:pPr>
        <w:tabs>
          <w:tab w:val="num" w:pos="2551"/>
        </w:tabs>
        <w:ind w:left="2551" w:hanging="567"/>
      </w:pPr>
    </w:lvl>
    <w:lvl w:ilvl="7" w:tplc="1BFAB6C8">
      <w:start w:val="1"/>
      <w:numFmt w:val="lowerLetter"/>
      <w:pStyle w:val="Point3letter"/>
      <w:lvlText w:val="(%8)"/>
      <w:lvlJc w:val="left"/>
      <w:pPr>
        <w:tabs>
          <w:tab w:val="num" w:pos="2551"/>
        </w:tabs>
        <w:ind w:left="2551" w:hanging="567"/>
      </w:pPr>
    </w:lvl>
    <w:lvl w:ilvl="8" w:tplc="A230AE44">
      <w:start w:val="1"/>
      <w:numFmt w:val="lowerLetter"/>
      <w:pStyle w:val="Point4letter"/>
      <w:lvlText w:val="(%9)"/>
      <w:lvlJc w:val="left"/>
      <w:pPr>
        <w:tabs>
          <w:tab w:val="num" w:pos="3118"/>
        </w:tabs>
        <w:ind w:left="3118" w:hanging="567"/>
      </w:pPr>
    </w:lvl>
  </w:abstractNum>
  <w:abstractNum w:abstractNumId="14" w15:restartNumberingAfterBreak="0">
    <w:nsid w:val="1C036253"/>
    <w:multiLevelType w:val="multilevel"/>
    <w:tmpl w:val="C68A15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3D0036"/>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553231"/>
    <w:multiLevelType w:val="multilevel"/>
    <w:tmpl w:val="9F9E21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start w:val="3"/>
      <w:numFmt w:val="low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78652A"/>
    <w:multiLevelType w:val="multilevel"/>
    <w:tmpl w:val="99F86068"/>
    <w:styleLink w:val="Style4"/>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DEB64D5"/>
    <w:multiLevelType w:val="multilevel"/>
    <w:tmpl w:val="E334C5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636866"/>
    <w:multiLevelType w:val="multilevel"/>
    <w:tmpl w:val="9C62F38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382646"/>
    <w:multiLevelType w:val="multilevel"/>
    <w:tmpl w:val="F842B6C6"/>
    <w:styleLink w:val="Style5"/>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A570EA"/>
    <w:multiLevelType w:val="multilevel"/>
    <w:tmpl w:val="562E7D3A"/>
    <w:lvl w:ilvl="0">
      <w:start w:val="8"/>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E44180"/>
    <w:multiLevelType w:val="multilevel"/>
    <w:tmpl w:val="EF2AC24A"/>
    <w:name w:val="NumPar"/>
    <w:lvl w:ilvl="0">
      <w:start w:val="1"/>
      <w:numFmt w:val="upperRoman"/>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9A7238"/>
    <w:multiLevelType w:val="hybridMultilevel"/>
    <w:tmpl w:val="4EC08664"/>
    <w:styleLink w:val="List0"/>
    <w:lvl w:ilvl="0" w:tplc="18945072">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tplc="83721D4A">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tplc="F11C48E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tplc="5ED20C96">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tplc="3026730A">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tplc="B61851C2">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tplc="E26AC20A">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tplc="87E4B552">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tplc="809EA132">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24" w15:restartNumberingAfterBreak="0">
    <w:nsid w:val="254D393F"/>
    <w:multiLevelType w:val="multilevel"/>
    <w:tmpl w:val="168A2C40"/>
    <w:lvl w:ilvl="0">
      <w:start w:val="2"/>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747B1F"/>
    <w:multiLevelType w:val="singleLevel"/>
    <w:tmpl w:val="83E2FAD4"/>
    <w:lvl w:ilvl="0">
      <w:start w:val="1"/>
      <w:numFmt w:val="bullet"/>
      <w:pStyle w:val="ListBullet9"/>
      <w:lvlText w:val=""/>
      <w:lvlJc w:val="left"/>
      <w:pPr>
        <w:tabs>
          <w:tab w:val="num" w:pos="644"/>
        </w:tabs>
        <w:ind w:left="641" w:hanging="357"/>
      </w:pPr>
      <w:rPr>
        <w:rFonts w:ascii="Symbol" w:hAnsi="Symbol" w:hint="default"/>
      </w:rPr>
    </w:lvl>
  </w:abstractNum>
  <w:abstractNum w:abstractNumId="26" w15:restartNumberingAfterBreak="0">
    <w:nsid w:val="27F4709B"/>
    <w:multiLevelType w:val="hybridMultilevel"/>
    <w:tmpl w:val="A44A55FA"/>
    <w:lvl w:ilvl="0" w:tplc="04080019">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A8027B5"/>
    <w:multiLevelType w:val="multilevel"/>
    <w:tmpl w:val="6E96ED5E"/>
    <w:lvl w:ilvl="0">
      <w:start w:val="3"/>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AF29BD"/>
    <w:multiLevelType w:val="multilevel"/>
    <w:tmpl w:val="F78A10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C13C4C"/>
    <w:multiLevelType w:val="multilevel"/>
    <w:tmpl w:val="E3E42C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461B8A"/>
    <w:multiLevelType w:val="hybridMultilevel"/>
    <w:tmpl w:val="82E060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2DE26764"/>
    <w:multiLevelType w:val="multilevel"/>
    <w:tmpl w:val="74E4D00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2A5E4E"/>
    <w:multiLevelType w:val="hybridMultilevel"/>
    <w:tmpl w:val="6952D4CA"/>
    <w:lvl w:ilvl="0" w:tplc="F6F808D0">
      <w:start w:val="1"/>
      <w:numFmt w:val="lowerRoman"/>
      <w:lvlText w:val="%1"/>
      <w:lvlJc w:val="left"/>
      <w:pPr>
        <w:ind w:left="720" w:hanging="360"/>
      </w:pPr>
      <w:rPr>
        <w:rFonts w:ascii="Arial" w:eastAsia="Arial" w:hAnsi="Arial" w:cs="Arial"/>
        <w:b w:val="0"/>
        <w:bCs/>
        <w:i/>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EA2391"/>
    <w:multiLevelType w:val="multilevel"/>
    <w:tmpl w:val="B21457C6"/>
    <w:styleLink w:val="Style3"/>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44261C"/>
    <w:multiLevelType w:val="multilevel"/>
    <w:tmpl w:val="21B0A6F6"/>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6231BF0"/>
    <w:multiLevelType w:val="multilevel"/>
    <w:tmpl w:val="D42415DE"/>
    <w:lvl w:ilvl="0">
      <w:start w:val="1"/>
      <w:numFmt w:val="decimal"/>
      <w:lvlText w:val="%1."/>
      <w:lvlJc w:val="left"/>
      <w:pPr>
        <w:tabs>
          <w:tab w:val="num" w:pos="1440"/>
        </w:tabs>
        <w:ind w:left="1440" w:hanging="720"/>
      </w:pPr>
      <w:rPr>
        <w:rFonts w:hint="default"/>
      </w:rPr>
    </w:lvl>
    <w:lvl w:ilvl="1">
      <w:start w:val="1"/>
      <w:numFmt w:val="decimal"/>
      <w:lvlText w:val="     %1.%2"/>
      <w:lvlJc w:val="left"/>
      <w:pPr>
        <w:tabs>
          <w:tab w:val="num" w:pos="2160"/>
        </w:tabs>
        <w:ind w:left="2160" w:hanging="720"/>
      </w:pPr>
      <w:rPr>
        <w:rFonts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36" w15:restartNumberingAfterBreak="0">
    <w:nsid w:val="367D0DF8"/>
    <w:multiLevelType w:val="hybridMultilevel"/>
    <w:tmpl w:val="70F85ABA"/>
    <w:lvl w:ilvl="0" w:tplc="DC38E6B0">
      <w:start w:val="1"/>
      <w:numFmt w:val="upperLetter"/>
      <w:pStyle w:val="Headlinerepor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4754E4"/>
    <w:multiLevelType w:val="hybridMultilevel"/>
    <w:tmpl w:val="F142F15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37B60A1E"/>
    <w:multiLevelType w:val="hybridMultilevel"/>
    <w:tmpl w:val="C096DA90"/>
    <w:styleLink w:val="EBullets"/>
    <w:lvl w:ilvl="0" w:tplc="8DB2571A">
      <w:start w:val="1"/>
      <w:numFmt w:val="bullet"/>
      <w:lvlText w:val="&gt;"/>
      <w:lvlJc w:val="left"/>
      <w:pPr>
        <w:tabs>
          <w:tab w:val="num" w:pos="360"/>
        </w:tabs>
        <w:ind w:left="360" w:hanging="360"/>
      </w:pPr>
      <w:rPr>
        <w:rFonts w:ascii="Calibri" w:hAnsi="Calibri" w:hint="default"/>
        <w:color w:val="C1D537"/>
        <w:position w:val="0"/>
        <w:sz w:val="24"/>
      </w:rPr>
    </w:lvl>
    <w:lvl w:ilvl="1" w:tplc="D95E8C46">
      <w:start w:val="1"/>
      <w:numFmt w:val="bullet"/>
      <w:lvlText w:val=""/>
      <w:lvlJc w:val="left"/>
      <w:pPr>
        <w:tabs>
          <w:tab w:val="num" w:pos="648"/>
        </w:tabs>
        <w:ind w:left="360" w:hanging="72"/>
      </w:pPr>
      <w:rPr>
        <w:rFonts w:ascii="Wingdings" w:hAnsi="Wingdings" w:hint="default"/>
        <w:color w:val="C1D537"/>
        <w:position w:val="0"/>
        <w:sz w:val="24"/>
      </w:rPr>
    </w:lvl>
    <w:lvl w:ilvl="2" w:tplc="BB30C766">
      <w:start w:val="1"/>
      <w:numFmt w:val="bullet"/>
      <w:lvlText w:val="○"/>
      <w:lvlJc w:val="left"/>
      <w:pPr>
        <w:tabs>
          <w:tab w:val="num" w:pos="936"/>
        </w:tabs>
        <w:ind w:left="360" w:firstLine="216"/>
      </w:pPr>
      <w:rPr>
        <w:rFonts w:ascii="Calibri" w:hAnsi="Calibri" w:hint="default"/>
        <w:color w:val="C1D537"/>
        <w:position w:val="0"/>
        <w:sz w:val="24"/>
      </w:rPr>
    </w:lvl>
    <w:lvl w:ilvl="3" w:tplc="13F87526">
      <w:start w:val="1"/>
      <w:numFmt w:val="bullet"/>
      <w:lvlText w:val=""/>
      <w:lvlJc w:val="left"/>
      <w:pPr>
        <w:ind w:left="2880" w:hanging="360"/>
      </w:pPr>
      <w:rPr>
        <w:rFonts w:ascii="Symbol" w:hAnsi="Symbol" w:hint="default"/>
      </w:rPr>
    </w:lvl>
    <w:lvl w:ilvl="4" w:tplc="AC0E11FC">
      <w:start w:val="1"/>
      <w:numFmt w:val="bullet"/>
      <w:lvlText w:val="o"/>
      <w:lvlJc w:val="left"/>
      <w:pPr>
        <w:ind w:left="3600" w:hanging="360"/>
      </w:pPr>
      <w:rPr>
        <w:rFonts w:ascii="Courier New" w:hAnsi="Courier New" w:cs="Courier New" w:hint="default"/>
      </w:rPr>
    </w:lvl>
    <w:lvl w:ilvl="5" w:tplc="40C41CB4">
      <w:start w:val="1"/>
      <w:numFmt w:val="bullet"/>
      <w:lvlText w:val=""/>
      <w:lvlJc w:val="left"/>
      <w:pPr>
        <w:ind w:left="4320" w:hanging="360"/>
      </w:pPr>
      <w:rPr>
        <w:rFonts w:ascii="Wingdings" w:hAnsi="Wingdings" w:hint="default"/>
      </w:rPr>
    </w:lvl>
    <w:lvl w:ilvl="6" w:tplc="A8881CD4">
      <w:start w:val="1"/>
      <w:numFmt w:val="bullet"/>
      <w:lvlText w:val=""/>
      <w:lvlJc w:val="left"/>
      <w:pPr>
        <w:ind w:left="5040" w:hanging="360"/>
      </w:pPr>
      <w:rPr>
        <w:rFonts w:ascii="Symbol" w:hAnsi="Symbol" w:hint="default"/>
      </w:rPr>
    </w:lvl>
    <w:lvl w:ilvl="7" w:tplc="4DC6FBD0">
      <w:start w:val="1"/>
      <w:numFmt w:val="bullet"/>
      <w:lvlText w:val="o"/>
      <w:lvlJc w:val="left"/>
      <w:pPr>
        <w:ind w:left="5760" w:hanging="360"/>
      </w:pPr>
      <w:rPr>
        <w:rFonts w:ascii="Courier New" w:hAnsi="Courier New" w:cs="Courier New" w:hint="default"/>
      </w:rPr>
    </w:lvl>
    <w:lvl w:ilvl="8" w:tplc="E8EC4D12">
      <w:start w:val="1"/>
      <w:numFmt w:val="bullet"/>
      <w:lvlText w:val=""/>
      <w:lvlJc w:val="left"/>
      <w:pPr>
        <w:ind w:left="6480" w:hanging="360"/>
      </w:pPr>
      <w:rPr>
        <w:rFonts w:ascii="Wingdings" w:hAnsi="Wingdings" w:hint="default"/>
      </w:rPr>
    </w:lvl>
  </w:abstractNum>
  <w:abstractNum w:abstractNumId="39" w15:restartNumberingAfterBreak="0">
    <w:nsid w:val="397E5714"/>
    <w:multiLevelType w:val="multilevel"/>
    <w:tmpl w:val="C08C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A365776"/>
    <w:multiLevelType w:val="hybridMultilevel"/>
    <w:tmpl w:val="2D0ED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F141E8"/>
    <w:multiLevelType w:val="multilevel"/>
    <w:tmpl w:val="79D8D20E"/>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42" w15:restartNumberingAfterBreak="0">
    <w:nsid w:val="40B75B15"/>
    <w:multiLevelType w:val="multilevel"/>
    <w:tmpl w:val="D92C1C5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1AE6C92"/>
    <w:multiLevelType w:val="multilevel"/>
    <w:tmpl w:val="E5220924"/>
    <w:lvl w:ilvl="0">
      <w:start w:val="1"/>
      <w:numFmt w:val="decimal"/>
      <w:lvlText w:val="Article %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BA0DDA"/>
    <w:multiLevelType w:val="multilevel"/>
    <w:tmpl w:val="6AD02E64"/>
    <w:lvl w:ilvl="0">
      <w:start w:val="3"/>
      <w:numFmt w:val="decimal"/>
      <w:lvlText w:val="%1."/>
      <w:lvlJc w:val="left"/>
    </w:lvl>
    <w:lvl w:ilvl="1">
      <w:start w:val="4"/>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FC4BF8"/>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5772BB0"/>
    <w:multiLevelType w:val="multilevel"/>
    <w:tmpl w:val="762280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DC506A"/>
    <w:multiLevelType w:val="hybridMultilevel"/>
    <w:tmpl w:val="A44A55FA"/>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C3255AB"/>
    <w:multiLevelType w:val="multilevel"/>
    <w:tmpl w:val="F53A6D9C"/>
    <w:lvl w:ilvl="0">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574BFC"/>
    <w:multiLevelType w:val="multilevel"/>
    <w:tmpl w:val="99F86068"/>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DC7120E"/>
    <w:multiLevelType w:val="hybridMultilevel"/>
    <w:tmpl w:val="D23A777E"/>
    <w:lvl w:ilvl="0" w:tplc="DC728EE4">
      <w:start w:val="3"/>
      <w:numFmt w:val="bullet"/>
      <w:lvlText w:val=""/>
      <w:lvlJc w:val="left"/>
      <w:pPr>
        <w:ind w:left="1288" w:hanging="360"/>
      </w:pPr>
      <w:rPr>
        <w:rFonts w:ascii="Symbol" w:eastAsia="Times New Roman" w:hAnsi="Symbol" w:cs="Times New Roman" w:hint="default"/>
      </w:rPr>
    </w:lvl>
    <w:lvl w:ilvl="1" w:tplc="04100003">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52" w15:restartNumberingAfterBreak="0">
    <w:nsid w:val="4E171A3F"/>
    <w:multiLevelType w:val="multilevel"/>
    <w:tmpl w:val="0F209F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FDA1DE4"/>
    <w:multiLevelType w:val="hybridMultilevel"/>
    <w:tmpl w:val="E0E0833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50D40ED5"/>
    <w:multiLevelType w:val="multilevel"/>
    <w:tmpl w:val="0409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2A714E7"/>
    <w:multiLevelType w:val="hybridMultilevel"/>
    <w:tmpl w:val="DB40D18E"/>
    <w:lvl w:ilvl="0" w:tplc="D7044DDC">
      <w:start w:val="1"/>
      <w:numFmt w:val="bullet"/>
      <w:pStyle w:val="BulletsLev1"/>
      <w:lvlText w:val=""/>
      <w:lvlJc w:val="left"/>
      <w:pPr>
        <w:ind w:left="720" w:hanging="360"/>
      </w:pPr>
      <w:rPr>
        <w:rFonts w:ascii="Wingdings" w:hAnsi="Wingdings" w:hint="default"/>
        <w:color w:val="44546A" w:themeColor="text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F864C1"/>
    <w:multiLevelType w:val="hybridMultilevel"/>
    <w:tmpl w:val="4A7AB92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9AD7A70"/>
    <w:multiLevelType w:val="multilevel"/>
    <w:tmpl w:val="E03847EE"/>
    <w:lvl w:ilvl="0">
      <w:start w:val="4"/>
      <w:numFmt w:val="decimal"/>
      <w:lvlText w:val="Article %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F408BD"/>
    <w:multiLevelType w:val="multilevel"/>
    <w:tmpl w:val="F842B6C6"/>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B6C1622"/>
    <w:multiLevelType w:val="multilevel"/>
    <w:tmpl w:val="D42C170E"/>
    <w:lvl w:ilvl="0">
      <w:start w:val="10"/>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F160836"/>
    <w:multiLevelType w:val="multilevel"/>
    <w:tmpl w:val="681C68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FD37A0E"/>
    <w:multiLevelType w:val="multilevel"/>
    <w:tmpl w:val="5852B4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0637401"/>
    <w:multiLevelType w:val="multilevel"/>
    <w:tmpl w:val="E334C550"/>
    <w:styleLink w:val="Style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1DA3420"/>
    <w:multiLevelType w:val="multilevel"/>
    <w:tmpl w:val="FB72D1EE"/>
    <w:lvl w:ilvl="0">
      <w:start w:val="11"/>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6E5A20"/>
    <w:multiLevelType w:val="multilevel"/>
    <w:tmpl w:val="72720F7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4CF2C71"/>
    <w:multiLevelType w:val="multilevel"/>
    <w:tmpl w:val="5CACC7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7660047"/>
    <w:multiLevelType w:val="multilevel"/>
    <w:tmpl w:val="CA387D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77951B1"/>
    <w:multiLevelType w:val="multilevel"/>
    <w:tmpl w:val="4E941B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9227DBA"/>
    <w:multiLevelType w:val="multilevel"/>
    <w:tmpl w:val="48BCA288"/>
    <w:lvl w:ilvl="0">
      <w:start w:val="8"/>
      <w:numFmt w:val="decimal"/>
      <w:lvlText w:val="(%1)"/>
      <w:lvlJc w:val="left"/>
    </w:lvl>
    <w:lvl w:ilvl="1">
      <w:start w:val="3"/>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D3555AD"/>
    <w:multiLevelType w:val="multilevel"/>
    <w:tmpl w:val="36E8C5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DEA09E8"/>
    <w:multiLevelType w:val="multilevel"/>
    <w:tmpl w:val="E60AAF62"/>
    <w:lvl w:ilvl="0">
      <w:start w:val="1"/>
      <w:numFmt w:val="upperRoman"/>
      <w:pStyle w:val="Annex1"/>
      <w:lvlText w:val="%1."/>
      <w:lvlJc w:val="left"/>
      <w:pPr>
        <w:ind w:left="0" w:firstLine="0"/>
      </w:pPr>
      <w:rPr>
        <w:rFonts w:hint="default"/>
      </w:rPr>
    </w:lvl>
    <w:lvl w:ilvl="1">
      <w:start w:val="1"/>
      <w:numFmt w:val="decimal"/>
      <w:pStyle w:val="Annex11"/>
      <w:lvlText w:val="%1%2."/>
      <w:lvlJc w:val="left"/>
      <w:pPr>
        <w:ind w:left="720" w:firstLine="0"/>
      </w:pPr>
      <w:rPr>
        <w:rFonts w:hint="default"/>
      </w:rPr>
    </w:lvl>
    <w:lvl w:ilvl="2">
      <w:start w:val="1"/>
      <w:numFmt w:val="decimal"/>
      <w:pStyle w:val="Norma"/>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1" w15:restartNumberingAfterBreak="0">
    <w:nsid w:val="6FB41871"/>
    <w:multiLevelType w:val="multilevel"/>
    <w:tmpl w:val="AAA291C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0C62BD7"/>
    <w:multiLevelType w:val="multilevel"/>
    <w:tmpl w:val="712E6136"/>
    <w:lvl w:ilvl="0">
      <w:start w:val="7"/>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0DB56A1"/>
    <w:multiLevelType w:val="multilevel"/>
    <w:tmpl w:val="2E6C3D6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4" w15:restartNumberingAfterBreak="0">
    <w:nsid w:val="72782690"/>
    <w:multiLevelType w:val="multilevel"/>
    <w:tmpl w:val="18A287B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2FA2F8E"/>
    <w:multiLevelType w:val="hybridMultilevel"/>
    <w:tmpl w:val="8B5816F6"/>
    <w:lvl w:ilvl="0" w:tplc="57443E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2D6686"/>
    <w:multiLevelType w:val="hybridMultilevel"/>
    <w:tmpl w:val="9692C5A8"/>
    <w:lvl w:ilvl="0" w:tplc="BF3A83DA">
      <w:start w:val="1"/>
      <w:numFmt w:val="decimal"/>
      <w:pStyle w:val="E2Level"/>
      <w:lvlText w:val="A.2.%1"/>
      <w:lvlJc w:val="left"/>
      <w:pPr>
        <w:ind w:left="720" w:hanging="360"/>
      </w:pPr>
      <w:rPr>
        <w:rFonts w:hint="default"/>
      </w:rPr>
    </w:lvl>
    <w:lvl w:ilvl="1" w:tplc="5106A38A">
      <w:numFmt w:val="bullet"/>
      <w:lvlText w:val="•"/>
      <w:lvlJc w:val="left"/>
      <w:pPr>
        <w:ind w:left="1800" w:hanging="720"/>
      </w:pPr>
      <w:rPr>
        <w:rFonts w:ascii="Calibri" w:eastAsiaTheme="minorEastAsia" w:hAnsi="Calibri" w:cs="Calibri" w:hint="default"/>
      </w:rPr>
    </w:lvl>
    <w:lvl w:ilvl="2" w:tplc="0410001B">
      <w:start w:val="1"/>
      <w:numFmt w:val="lowerRoman"/>
      <w:pStyle w:val="E3Level"/>
      <w:lvlText w:val="%3."/>
      <w:lvlJc w:val="right"/>
      <w:pPr>
        <w:ind w:left="2160" w:hanging="180"/>
      </w:pPr>
    </w:lvl>
    <w:lvl w:ilvl="3" w:tplc="0410000F" w:tentative="1">
      <w:start w:val="1"/>
      <w:numFmt w:val="decimal"/>
      <w:pStyle w:val="E4Level"/>
      <w:lvlText w:val="%4."/>
      <w:lvlJc w:val="left"/>
      <w:pPr>
        <w:ind w:left="2880" w:hanging="360"/>
      </w:pPr>
    </w:lvl>
    <w:lvl w:ilvl="4" w:tplc="04100019" w:tentative="1">
      <w:start w:val="1"/>
      <w:numFmt w:val="lowerLetter"/>
      <w:pStyle w:val="E5Level"/>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764792A"/>
    <w:multiLevelType w:val="multilevel"/>
    <w:tmpl w:val="3064C2F4"/>
    <w:lvl w:ilvl="0">
      <w:start w:val="6"/>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83E3EBD"/>
    <w:multiLevelType w:val="hybridMultilevel"/>
    <w:tmpl w:val="258CDE54"/>
    <w:lvl w:ilvl="0" w:tplc="85708790">
      <w:start w:val="1"/>
      <w:numFmt w:val="lowerLetter"/>
      <w:pStyle w:val="Elencopuntato"/>
      <w:lvlText w:val="%1)"/>
      <w:lvlJc w:val="left"/>
      <w:pPr>
        <w:tabs>
          <w:tab w:val="num" w:pos="1287"/>
        </w:tabs>
        <w:ind w:left="1287" w:hanging="363"/>
      </w:pPr>
      <w:rPr>
        <w:rFonts w:ascii="Times New Roman" w:eastAsia="Times New Roman" w:hAnsi="Times New Roman" w:cs="Times New Roman"/>
      </w:rPr>
    </w:lvl>
    <w:lvl w:ilvl="1" w:tplc="2E1670AC">
      <w:start w:val="1"/>
      <w:numFmt w:val="lowerRoman"/>
      <w:lvlText w:val="%2)"/>
      <w:lvlJc w:val="left"/>
      <w:pPr>
        <w:tabs>
          <w:tab w:val="num" w:pos="1800"/>
        </w:tabs>
        <w:ind w:left="1420" w:hanging="340"/>
      </w:pPr>
      <w:rPr>
        <w:rFonts w:cs="Times New Roman" w:hint="default"/>
      </w:rPr>
    </w:lvl>
    <w:lvl w:ilvl="2" w:tplc="F306B936">
      <w:start w:val="1"/>
      <w:numFmt w:val="bullet"/>
      <w:lvlText w:val=""/>
      <w:lvlJc w:val="left"/>
      <w:pPr>
        <w:tabs>
          <w:tab w:val="num" w:pos="2160"/>
        </w:tabs>
        <w:ind w:left="2160" w:hanging="360"/>
      </w:pPr>
      <w:rPr>
        <w:rFonts w:ascii="Wingdings" w:hAnsi="Wingdings" w:hint="default"/>
      </w:rPr>
    </w:lvl>
    <w:lvl w:ilvl="3" w:tplc="F454D706" w:tentative="1">
      <w:start w:val="1"/>
      <w:numFmt w:val="bullet"/>
      <w:lvlText w:val=""/>
      <w:lvlJc w:val="left"/>
      <w:pPr>
        <w:tabs>
          <w:tab w:val="num" w:pos="2880"/>
        </w:tabs>
        <w:ind w:left="2880" w:hanging="360"/>
      </w:pPr>
      <w:rPr>
        <w:rFonts w:ascii="Symbol" w:hAnsi="Symbol" w:hint="default"/>
      </w:rPr>
    </w:lvl>
    <w:lvl w:ilvl="4" w:tplc="7B307F30" w:tentative="1">
      <w:start w:val="1"/>
      <w:numFmt w:val="bullet"/>
      <w:lvlText w:val="o"/>
      <w:lvlJc w:val="left"/>
      <w:pPr>
        <w:tabs>
          <w:tab w:val="num" w:pos="3600"/>
        </w:tabs>
        <w:ind w:left="3600" w:hanging="360"/>
      </w:pPr>
      <w:rPr>
        <w:rFonts w:ascii="Courier New" w:hAnsi="Courier New" w:hint="default"/>
      </w:rPr>
    </w:lvl>
    <w:lvl w:ilvl="5" w:tplc="F6861A0A" w:tentative="1">
      <w:start w:val="1"/>
      <w:numFmt w:val="bullet"/>
      <w:lvlText w:val=""/>
      <w:lvlJc w:val="left"/>
      <w:pPr>
        <w:tabs>
          <w:tab w:val="num" w:pos="4320"/>
        </w:tabs>
        <w:ind w:left="4320" w:hanging="360"/>
      </w:pPr>
      <w:rPr>
        <w:rFonts w:ascii="Wingdings" w:hAnsi="Wingdings" w:hint="default"/>
      </w:rPr>
    </w:lvl>
    <w:lvl w:ilvl="6" w:tplc="73200EC6" w:tentative="1">
      <w:start w:val="1"/>
      <w:numFmt w:val="bullet"/>
      <w:lvlText w:val=""/>
      <w:lvlJc w:val="left"/>
      <w:pPr>
        <w:tabs>
          <w:tab w:val="num" w:pos="5040"/>
        </w:tabs>
        <w:ind w:left="5040" w:hanging="360"/>
      </w:pPr>
      <w:rPr>
        <w:rFonts w:ascii="Symbol" w:hAnsi="Symbol" w:hint="default"/>
      </w:rPr>
    </w:lvl>
    <w:lvl w:ilvl="7" w:tplc="1932ED26" w:tentative="1">
      <w:start w:val="1"/>
      <w:numFmt w:val="bullet"/>
      <w:lvlText w:val="o"/>
      <w:lvlJc w:val="left"/>
      <w:pPr>
        <w:tabs>
          <w:tab w:val="num" w:pos="5760"/>
        </w:tabs>
        <w:ind w:left="5760" w:hanging="360"/>
      </w:pPr>
      <w:rPr>
        <w:rFonts w:ascii="Courier New" w:hAnsi="Courier New" w:hint="default"/>
      </w:rPr>
    </w:lvl>
    <w:lvl w:ilvl="8" w:tplc="4A3436CC"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BEA0FED"/>
    <w:multiLevelType w:val="multilevel"/>
    <w:tmpl w:val="5D5AC392"/>
    <w:lvl w:ilvl="0">
      <w:start w:val="1"/>
      <w:numFmt w:val="decimal"/>
      <w:lvlText w:val="%1."/>
      <w:lvlJc w:val="left"/>
      <w:pPr>
        <w:ind w:left="360" w:hanging="360"/>
      </w:pPr>
      <w:rPr>
        <w:rFonts w:hint="default"/>
      </w:rPr>
    </w:lvl>
    <w:lvl w:ilvl="1">
      <w:start w:val="1"/>
      <w:numFmt w:val="decimal"/>
      <w:lvlText w:val="5.%2."/>
      <w:lvlJc w:val="left"/>
      <w:pPr>
        <w:ind w:left="858"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E5C64EF"/>
    <w:multiLevelType w:val="hybridMultilevel"/>
    <w:tmpl w:val="BC4C6300"/>
    <w:lvl w:ilvl="0" w:tplc="665663D4">
      <w:start w:val="6"/>
      <w:numFmt w:val="upperLetter"/>
      <w:pStyle w:val="Appendix"/>
      <w:lvlText w:val="Appendix %1"/>
      <w:lvlJc w:val="left"/>
      <w:pPr>
        <w:ind w:left="1069" w:hanging="36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1" w15:restartNumberingAfterBreak="0">
    <w:nsid w:val="7E892F82"/>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94056297">
    <w:abstractNumId w:val="76"/>
  </w:num>
  <w:num w:numId="2" w16cid:durableId="781151995">
    <w:abstractNumId w:val="1"/>
  </w:num>
  <w:num w:numId="3" w16cid:durableId="1400591752">
    <w:abstractNumId w:val="41"/>
  </w:num>
  <w:num w:numId="4" w16cid:durableId="507604058">
    <w:abstractNumId w:val="2"/>
  </w:num>
  <w:num w:numId="5" w16cid:durableId="2139689450">
    <w:abstractNumId w:val="38"/>
  </w:num>
  <w:num w:numId="6" w16cid:durableId="719324511">
    <w:abstractNumId w:val="47"/>
  </w:num>
  <w:num w:numId="7" w16cid:durableId="19942915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1551813">
    <w:abstractNumId w:val="22"/>
  </w:num>
  <w:num w:numId="9" w16cid:durableId="1849295017">
    <w:abstractNumId w:val="23"/>
  </w:num>
  <w:num w:numId="10" w16cid:durableId="1669600384">
    <w:abstractNumId w:val="36"/>
  </w:num>
  <w:num w:numId="11" w16cid:durableId="753742443">
    <w:abstractNumId w:val="55"/>
  </w:num>
  <w:num w:numId="12" w16cid:durableId="1637948027">
    <w:abstractNumId w:val="11"/>
  </w:num>
  <w:num w:numId="13" w16cid:durableId="355232914">
    <w:abstractNumId w:val="70"/>
  </w:num>
  <w:num w:numId="14" w16cid:durableId="365445544">
    <w:abstractNumId w:val="30"/>
  </w:num>
  <w:num w:numId="15" w16cid:durableId="257446887">
    <w:abstractNumId w:val="25"/>
  </w:num>
  <w:num w:numId="16" w16cid:durableId="867766099">
    <w:abstractNumId w:val="78"/>
  </w:num>
  <w:num w:numId="17" w16cid:durableId="1328902348">
    <w:abstractNumId w:val="80"/>
  </w:num>
  <w:num w:numId="18" w16cid:durableId="1008560821">
    <w:abstractNumId w:val="32"/>
  </w:num>
  <w:num w:numId="19" w16cid:durableId="1907064127">
    <w:abstractNumId w:val="40"/>
  </w:num>
  <w:num w:numId="20" w16cid:durableId="104882743">
    <w:abstractNumId w:val="79"/>
  </w:num>
  <w:num w:numId="21" w16cid:durableId="963576749">
    <w:abstractNumId w:val="33"/>
  </w:num>
  <w:num w:numId="22" w16cid:durableId="1062215118">
    <w:abstractNumId w:val="50"/>
  </w:num>
  <w:num w:numId="23" w16cid:durableId="330765485">
    <w:abstractNumId w:val="17"/>
  </w:num>
  <w:num w:numId="24" w16cid:durableId="449783869">
    <w:abstractNumId w:val="58"/>
  </w:num>
  <w:num w:numId="25" w16cid:durableId="1755122789">
    <w:abstractNumId w:val="20"/>
  </w:num>
  <w:num w:numId="26" w16cid:durableId="227689282">
    <w:abstractNumId w:val="54"/>
  </w:num>
  <w:num w:numId="27" w16cid:durableId="1598976743">
    <w:abstractNumId w:val="49"/>
  </w:num>
  <w:num w:numId="28" w16cid:durableId="730080330">
    <w:abstractNumId w:val="18"/>
  </w:num>
  <w:num w:numId="29" w16cid:durableId="201014575">
    <w:abstractNumId w:val="0"/>
  </w:num>
  <w:num w:numId="30" w16cid:durableId="1869098874">
    <w:abstractNumId w:val="45"/>
  </w:num>
  <w:num w:numId="31" w16cid:durableId="31807765">
    <w:abstractNumId w:val="62"/>
  </w:num>
  <w:num w:numId="32" w16cid:durableId="878474654">
    <w:abstractNumId w:val="71"/>
  </w:num>
  <w:num w:numId="33" w16cid:durableId="1750231227">
    <w:abstractNumId w:val="4"/>
  </w:num>
  <w:num w:numId="34" w16cid:durableId="1695769239">
    <w:abstractNumId w:val="51"/>
  </w:num>
  <w:num w:numId="35" w16cid:durableId="912935300">
    <w:abstractNumId w:val="81"/>
  </w:num>
  <w:num w:numId="36" w16cid:durableId="39288311">
    <w:abstractNumId w:val="73"/>
  </w:num>
  <w:num w:numId="37" w16cid:durableId="2138526211">
    <w:abstractNumId w:val="53"/>
  </w:num>
  <w:num w:numId="38" w16cid:durableId="188642046">
    <w:abstractNumId w:val="26"/>
  </w:num>
  <w:num w:numId="39" w16cid:durableId="808786221">
    <w:abstractNumId w:val="37"/>
  </w:num>
  <w:num w:numId="40" w16cid:durableId="1085805806">
    <w:abstractNumId w:val="60"/>
  </w:num>
  <w:num w:numId="41" w16cid:durableId="737750684">
    <w:abstractNumId w:val="64"/>
  </w:num>
  <w:num w:numId="42" w16cid:durableId="1241451344">
    <w:abstractNumId w:val="43"/>
  </w:num>
  <w:num w:numId="43" w16cid:durableId="1053970848">
    <w:abstractNumId w:val="5"/>
  </w:num>
  <w:num w:numId="44" w16cid:durableId="817185752">
    <w:abstractNumId w:val="28"/>
  </w:num>
  <w:num w:numId="45" w16cid:durableId="2029797362">
    <w:abstractNumId w:val="24"/>
  </w:num>
  <w:num w:numId="46" w16cid:durableId="1816098263">
    <w:abstractNumId w:val="42"/>
  </w:num>
  <w:num w:numId="47" w16cid:durableId="148834496">
    <w:abstractNumId w:val="27"/>
  </w:num>
  <w:num w:numId="48" w16cid:durableId="1611088827">
    <w:abstractNumId w:val="31"/>
  </w:num>
  <w:num w:numId="49" w16cid:durableId="357238421">
    <w:abstractNumId w:val="74"/>
  </w:num>
  <w:num w:numId="50" w16cid:durableId="648706279">
    <w:abstractNumId w:val="44"/>
  </w:num>
  <w:num w:numId="51" w16cid:durableId="2019387958">
    <w:abstractNumId w:val="19"/>
  </w:num>
  <w:num w:numId="52" w16cid:durableId="1922135815">
    <w:abstractNumId w:val="57"/>
  </w:num>
  <w:num w:numId="53" w16cid:durableId="473907383">
    <w:abstractNumId w:val="6"/>
  </w:num>
  <w:num w:numId="54" w16cid:durableId="2006591705">
    <w:abstractNumId w:val="61"/>
  </w:num>
  <w:num w:numId="55" w16cid:durableId="1191456114">
    <w:abstractNumId w:val="3"/>
  </w:num>
  <w:num w:numId="56" w16cid:durableId="875193010">
    <w:abstractNumId w:val="29"/>
  </w:num>
  <w:num w:numId="57" w16cid:durableId="238946518">
    <w:abstractNumId w:val="77"/>
  </w:num>
  <w:num w:numId="58" w16cid:durableId="764302183">
    <w:abstractNumId w:val="72"/>
  </w:num>
  <w:num w:numId="59" w16cid:durableId="1768967272">
    <w:abstractNumId w:val="14"/>
  </w:num>
  <w:num w:numId="60" w16cid:durableId="2098208666">
    <w:abstractNumId w:val="66"/>
  </w:num>
  <w:num w:numId="61" w16cid:durableId="299772642">
    <w:abstractNumId w:val="67"/>
  </w:num>
  <w:num w:numId="62" w16cid:durableId="1545212532">
    <w:abstractNumId w:val="9"/>
  </w:num>
  <w:num w:numId="63" w16cid:durableId="689916497">
    <w:abstractNumId w:val="69"/>
  </w:num>
  <w:num w:numId="64" w16cid:durableId="1479684830">
    <w:abstractNumId w:val="21"/>
  </w:num>
  <w:num w:numId="65" w16cid:durableId="646398085">
    <w:abstractNumId w:val="10"/>
  </w:num>
  <w:num w:numId="66" w16cid:durableId="41294586">
    <w:abstractNumId w:val="16"/>
  </w:num>
  <w:num w:numId="67" w16cid:durableId="822962764">
    <w:abstractNumId w:val="68"/>
  </w:num>
  <w:num w:numId="68" w16cid:durableId="1067999659">
    <w:abstractNumId w:val="7"/>
  </w:num>
  <w:num w:numId="69" w16cid:durableId="773131981">
    <w:abstractNumId w:val="59"/>
  </w:num>
  <w:num w:numId="70" w16cid:durableId="1893422745">
    <w:abstractNumId w:val="46"/>
  </w:num>
  <w:num w:numId="71" w16cid:durableId="1947999736">
    <w:abstractNumId w:val="63"/>
  </w:num>
  <w:num w:numId="72" w16cid:durableId="1994528165">
    <w:abstractNumId w:val="8"/>
  </w:num>
  <w:num w:numId="73" w16cid:durableId="87040159">
    <w:abstractNumId w:val="52"/>
  </w:num>
  <w:num w:numId="74" w16cid:durableId="795565605">
    <w:abstractNumId w:val="65"/>
  </w:num>
  <w:num w:numId="75" w16cid:durableId="786586996">
    <w:abstractNumId w:val="48"/>
  </w:num>
  <w:num w:numId="76" w16cid:durableId="1000356163">
    <w:abstractNumId w:val="15"/>
  </w:num>
  <w:num w:numId="77" w16cid:durableId="726879506">
    <w:abstractNumId w:val="39"/>
  </w:num>
  <w:num w:numId="78" w16cid:durableId="10502995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41667593">
    <w:abstractNumId w:val="35"/>
  </w:num>
  <w:num w:numId="80" w16cid:durableId="77754189">
    <w:abstractNumId w:val="56"/>
  </w:num>
  <w:num w:numId="81" w16cid:durableId="482281928">
    <w:abstractNumId w:val="12"/>
  </w:num>
  <w:num w:numId="82" w16cid:durableId="1462698298">
    <w:abstractNumId w:val="7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de-DE" w:vendorID="64" w:dllVersion="6" w:nlCheck="1" w:checkStyle="0"/>
  <w:activeWritingStyle w:appName="MSWord" w:lang="de-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44"/>
    <w:rsid w:val="00000464"/>
    <w:rsid w:val="000013A4"/>
    <w:rsid w:val="00001763"/>
    <w:rsid w:val="00001C32"/>
    <w:rsid w:val="00001CCC"/>
    <w:rsid w:val="0000212B"/>
    <w:rsid w:val="000023C3"/>
    <w:rsid w:val="00002A80"/>
    <w:rsid w:val="00002D96"/>
    <w:rsid w:val="000031DA"/>
    <w:rsid w:val="000033F5"/>
    <w:rsid w:val="000035B9"/>
    <w:rsid w:val="00003B6E"/>
    <w:rsid w:val="00003B81"/>
    <w:rsid w:val="00004212"/>
    <w:rsid w:val="0000512B"/>
    <w:rsid w:val="00005271"/>
    <w:rsid w:val="000056E0"/>
    <w:rsid w:val="0000648E"/>
    <w:rsid w:val="00006566"/>
    <w:rsid w:val="000068EE"/>
    <w:rsid w:val="00006D4C"/>
    <w:rsid w:val="00006DC1"/>
    <w:rsid w:val="00007090"/>
    <w:rsid w:val="00007E84"/>
    <w:rsid w:val="00010028"/>
    <w:rsid w:val="00010554"/>
    <w:rsid w:val="00010708"/>
    <w:rsid w:val="00010764"/>
    <w:rsid w:val="000109F8"/>
    <w:rsid w:val="00010E6E"/>
    <w:rsid w:val="00010EA3"/>
    <w:rsid w:val="00010F55"/>
    <w:rsid w:val="00011566"/>
    <w:rsid w:val="00011BED"/>
    <w:rsid w:val="00012656"/>
    <w:rsid w:val="00013060"/>
    <w:rsid w:val="00013541"/>
    <w:rsid w:val="000139B6"/>
    <w:rsid w:val="00013E84"/>
    <w:rsid w:val="00014053"/>
    <w:rsid w:val="000148F5"/>
    <w:rsid w:val="00015195"/>
    <w:rsid w:val="00015927"/>
    <w:rsid w:val="000159BC"/>
    <w:rsid w:val="000163D5"/>
    <w:rsid w:val="00016981"/>
    <w:rsid w:val="00016EB2"/>
    <w:rsid w:val="00017703"/>
    <w:rsid w:val="000206FC"/>
    <w:rsid w:val="00020971"/>
    <w:rsid w:val="00021FC8"/>
    <w:rsid w:val="00022560"/>
    <w:rsid w:val="00022C19"/>
    <w:rsid w:val="0002335A"/>
    <w:rsid w:val="000238E8"/>
    <w:rsid w:val="00023A8A"/>
    <w:rsid w:val="00023B76"/>
    <w:rsid w:val="000245EC"/>
    <w:rsid w:val="0002505E"/>
    <w:rsid w:val="00025164"/>
    <w:rsid w:val="00025B8B"/>
    <w:rsid w:val="00025B9F"/>
    <w:rsid w:val="00025D86"/>
    <w:rsid w:val="00025DFB"/>
    <w:rsid w:val="00026478"/>
    <w:rsid w:val="00026F0C"/>
    <w:rsid w:val="000272B8"/>
    <w:rsid w:val="00030122"/>
    <w:rsid w:val="000309C3"/>
    <w:rsid w:val="00030B36"/>
    <w:rsid w:val="00031334"/>
    <w:rsid w:val="000314FB"/>
    <w:rsid w:val="000315C3"/>
    <w:rsid w:val="00031AB0"/>
    <w:rsid w:val="000323CE"/>
    <w:rsid w:val="00032FD5"/>
    <w:rsid w:val="00033023"/>
    <w:rsid w:val="000330C9"/>
    <w:rsid w:val="00034B3E"/>
    <w:rsid w:val="00035393"/>
    <w:rsid w:val="0003558A"/>
    <w:rsid w:val="0003582E"/>
    <w:rsid w:val="00035901"/>
    <w:rsid w:val="00035A92"/>
    <w:rsid w:val="00035D15"/>
    <w:rsid w:val="00035D5D"/>
    <w:rsid w:val="00036236"/>
    <w:rsid w:val="0003782A"/>
    <w:rsid w:val="00037FE0"/>
    <w:rsid w:val="0004004F"/>
    <w:rsid w:val="00040B25"/>
    <w:rsid w:val="000413F5"/>
    <w:rsid w:val="000417B4"/>
    <w:rsid w:val="00041AE9"/>
    <w:rsid w:val="00041AFE"/>
    <w:rsid w:val="00041F19"/>
    <w:rsid w:val="000420A9"/>
    <w:rsid w:val="00042825"/>
    <w:rsid w:val="00042D4F"/>
    <w:rsid w:val="00043858"/>
    <w:rsid w:val="000438EC"/>
    <w:rsid w:val="00043A70"/>
    <w:rsid w:val="00043E2B"/>
    <w:rsid w:val="00044335"/>
    <w:rsid w:val="00044465"/>
    <w:rsid w:val="00044580"/>
    <w:rsid w:val="0004461F"/>
    <w:rsid w:val="00045396"/>
    <w:rsid w:val="000454B7"/>
    <w:rsid w:val="000456C6"/>
    <w:rsid w:val="0004638D"/>
    <w:rsid w:val="0004681D"/>
    <w:rsid w:val="00046D44"/>
    <w:rsid w:val="00046F5C"/>
    <w:rsid w:val="0004768A"/>
    <w:rsid w:val="00047775"/>
    <w:rsid w:val="00047915"/>
    <w:rsid w:val="00047C00"/>
    <w:rsid w:val="0005018D"/>
    <w:rsid w:val="00050200"/>
    <w:rsid w:val="00050364"/>
    <w:rsid w:val="00050C13"/>
    <w:rsid w:val="000514B6"/>
    <w:rsid w:val="00051A8A"/>
    <w:rsid w:val="00051F0E"/>
    <w:rsid w:val="00051F5E"/>
    <w:rsid w:val="00052281"/>
    <w:rsid w:val="00052A26"/>
    <w:rsid w:val="000532BC"/>
    <w:rsid w:val="000535B4"/>
    <w:rsid w:val="00053C24"/>
    <w:rsid w:val="0005421C"/>
    <w:rsid w:val="00054704"/>
    <w:rsid w:val="00054813"/>
    <w:rsid w:val="000549C6"/>
    <w:rsid w:val="00054A57"/>
    <w:rsid w:val="00055928"/>
    <w:rsid w:val="00055995"/>
    <w:rsid w:val="00055E91"/>
    <w:rsid w:val="00056197"/>
    <w:rsid w:val="0005630B"/>
    <w:rsid w:val="00056F0A"/>
    <w:rsid w:val="00057084"/>
    <w:rsid w:val="000572BE"/>
    <w:rsid w:val="000573F2"/>
    <w:rsid w:val="00057A21"/>
    <w:rsid w:val="00057AC7"/>
    <w:rsid w:val="00057D98"/>
    <w:rsid w:val="00057F45"/>
    <w:rsid w:val="00057FE8"/>
    <w:rsid w:val="00060468"/>
    <w:rsid w:val="000604B3"/>
    <w:rsid w:val="00060798"/>
    <w:rsid w:val="00060B85"/>
    <w:rsid w:val="000612A0"/>
    <w:rsid w:val="00061C59"/>
    <w:rsid w:val="00061F35"/>
    <w:rsid w:val="000622A5"/>
    <w:rsid w:val="00062653"/>
    <w:rsid w:val="00062F6A"/>
    <w:rsid w:val="00063051"/>
    <w:rsid w:val="0006328D"/>
    <w:rsid w:val="000632C5"/>
    <w:rsid w:val="00063378"/>
    <w:rsid w:val="000633B1"/>
    <w:rsid w:val="000633F2"/>
    <w:rsid w:val="0006348C"/>
    <w:rsid w:val="000636A2"/>
    <w:rsid w:val="00064051"/>
    <w:rsid w:val="0006464C"/>
    <w:rsid w:val="00064862"/>
    <w:rsid w:val="000651FA"/>
    <w:rsid w:val="00065523"/>
    <w:rsid w:val="0006571D"/>
    <w:rsid w:val="0006592F"/>
    <w:rsid w:val="000663B3"/>
    <w:rsid w:val="000664E3"/>
    <w:rsid w:val="00066C5E"/>
    <w:rsid w:val="00067E91"/>
    <w:rsid w:val="000701D8"/>
    <w:rsid w:val="0007040D"/>
    <w:rsid w:val="00070725"/>
    <w:rsid w:val="0007126C"/>
    <w:rsid w:val="000725F7"/>
    <w:rsid w:val="00072A3F"/>
    <w:rsid w:val="00072CD3"/>
    <w:rsid w:val="0007323C"/>
    <w:rsid w:val="00073463"/>
    <w:rsid w:val="000735E9"/>
    <w:rsid w:val="00073E60"/>
    <w:rsid w:val="000744D7"/>
    <w:rsid w:val="000745DC"/>
    <w:rsid w:val="000748A2"/>
    <w:rsid w:val="00074D2C"/>
    <w:rsid w:val="00075402"/>
    <w:rsid w:val="00075974"/>
    <w:rsid w:val="00075F24"/>
    <w:rsid w:val="000766B3"/>
    <w:rsid w:val="000766D0"/>
    <w:rsid w:val="000767B5"/>
    <w:rsid w:val="00076FC2"/>
    <w:rsid w:val="000771B7"/>
    <w:rsid w:val="0007786D"/>
    <w:rsid w:val="00077B0F"/>
    <w:rsid w:val="00077D06"/>
    <w:rsid w:val="0008018A"/>
    <w:rsid w:val="000809E4"/>
    <w:rsid w:val="00080B2A"/>
    <w:rsid w:val="00081402"/>
    <w:rsid w:val="00081719"/>
    <w:rsid w:val="00081CDB"/>
    <w:rsid w:val="0008222B"/>
    <w:rsid w:val="000828B6"/>
    <w:rsid w:val="00082E4A"/>
    <w:rsid w:val="00082F66"/>
    <w:rsid w:val="000830C7"/>
    <w:rsid w:val="000831EF"/>
    <w:rsid w:val="00083759"/>
    <w:rsid w:val="00083A9C"/>
    <w:rsid w:val="00083C20"/>
    <w:rsid w:val="00084132"/>
    <w:rsid w:val="00084345"/>
    <w:rsid w:val="000843A6"/>
    <w:rsid w:val="000843EC"/>
    <w:rsid w:val="000847C0"/>
    <w:rsid w:val="0008480C"/>
    <w:rsid w:val="00084939"/>
    <w:rsid w:val="00084A90"/>
    <w:rsid w:val="0008553C"/>
    <w:rsid w:val="00085A9A"/>
    <w:rsid w:val="000866A0"/>
    <w:rsid w:val="00086E1D"/>
    <w:rsid w:val="0008704C"/>
    <w:rsid w:val="00087364"/>
    <w:rsid w:val="00087DC9"/>
    <w:rsid w:val="000903AE"/>
    <w:rsid w:val="00090544"/>
    <w:rsid w:val="00090C77"/>
    <w:rsid w:val="0009102E"/>
    <w:rsid w:val="000911C2"/>
    <w:rsid w:val="000913C6"/>
    <w:rsid w:val="000915B0"/>
    <w:rsid w:val="0009176F"/>
    <w:rsid w:val="00091DD4"/>
    <w:rsid w:val="000921EC"/>
    <w:rsid w:val="00092231"/>
    <w:rsid w:val="00092454"/>
    <w:rsid w:val="00092CB4"/>
    <w:rsid w:val="000931AE"/>
    <w:rsid w:val="0009373A"/>
    <w:rsid w:val="00093B57"/>
    <w:rsid w:val="00093DDA"/>
    <w:rsid w:val="00093EFA"/>
    <w:rsid w:val="000940C9"/>
    <w:rsid w:val="0009436D"/>
    <w:rsid w:val="000944CB"/>
    <w:rsid w:val="00094CC8"/>
    <w:rsid w:val="00095A9F"/>
    <w:rsid w:val="00095BD1"/>
    <w:rsid w:val="00095C98"/>
    <w:rsid w:val="00095D9D"/>
    <w:rsid w:val="000964F7"/>
    <w:rsid w:val="000969B7"/>
    <w:rsid w:val="00096BFF"/>
    <w:rsid w:val="00096FAE"/>
    <w:rsid w:val="0009785B"/>
    <w:rsid w:val="00097994"/>
    <w:rsid w:val="00097C02"/>
    <w:rsid w:val="00097E5C"/>
    <w:rsid w:val="000A03D5"/>
    <w:rsid w:val="000A06D9"/>
    <w:rsid w:val="000A0855"/>
    <w:rsid w:val="000A0E60"/>
    <w:rsid w:val="000A129F"/>
    <w:rsid w:val="000A17BE"/>
    <w:rsid w:val="000A1805"/>
    <w:rsid w:val="000A27D0"/>
    <w:rsid w:val="000A2D4E"/>
    <w:rsid w:val="000A2F4A"/>
    <w:rsid w:val="000A336B"/>
    <w:rsid w:val="000A3622"/>
    <w:rsid w:val="000A40DB"/>
    <w:rsid w:val="000A4879"/>
    <w:rsid w:val="000A4A2F"/>
    <w:rsid w:val="000A4B9E"/>
    <w:rsid w:val="000A4E5E"/>
    <w:rsid w:val="000A5306"/>
    <w:rsid w:val="000A5341"/>
    <w:rsid w:val="000A55A8"/>
    <w:rsid w:val="000A560D"/>
    <w:rsid w:val="000A5BE8"/>
    <w:rsid w:val="000A6CD0"/>
    <w:rsid w:val="000A6F0B"/>
    <w:rsid w:val="000A7A7D"/>
    <w:rsid w:val="000A7EC0"/>
    <w:rsid w:val="000B05E6"/>
    <w:rsid w:val="000B0B26"/>
    <w:rsid w:val="000B0D1D"/>
    <w:rsid w:val="000B0EC8"/>
    <w:rsid w:val="000B0F02"/>
    <w:rsid w:val="000B1180"/>
    <w:rsid w:val="000B158D"/>
    <w:rsid w:val="000B173B"/>
    <w:rsid w:val="000B1A82"/>
    <w:rsid w:val="000B1CBA"/>
    <w:rsid w:val="000B1CF3"/>
    <w:rsid w:val="000B2394"/>
    <w:rsid w:val="000B2580"/>
    <w:rsid w:val="000B2BD8"/>
    <w:rsid w:val="000B30BD"/>
    <w:rsid w:val="000B3467"/>
    <w:rsid w:val="000B4032"/>
    <w:rsid w:val="000B4348"/>
    <w:rsid w:val="000B43AB"/>
    <w:rsid w:val="000B4635"/>
    <w:rsid w:val="000B489A"/>
    <w:rsid w:val="000B539F"/>
    <w:rsid w:val="000B6246"/>
    <w:rsid w:val="000B6339"/>
    <w:rsid w:val="000B6FC1"/>
    <w:rsid w:val="000B77B8"/>
    <w:rsid w:val="000B7B5D"/>
    <w:rsid w:val="000B7FD2"/>
    <w:rsid w:val="000C0201"/>
    <w:rsid w:val="000C05E9"/>
    <w:rsid w:val="000C0743"/>
    <w:rsid w:val="000C0DDC"/>
    <w:rsid w:val="000C1FC1"/>
    <w:rsid w:val="000C226B"/>
    <w:rsid w:val="000C23DA"/>
    <w:rsid w:val="000C261A"/>
    <w:rsid w:val="000C313D"/>
    <w:rsid w:val="000C3524"/>
    <w:rsid w:val="000C3778"/>
    <w:rsid w:val="000C38ED"/>
    <w:rsid w:val="000C3C63"/>
    <w:rsid w:val="000C4C42"/>
    <w:rsid w:val="000C5197"/>
    <w:rsid w:val="000C5776"/>
    <w:rsid w:val="000C6612"/>
    <w:rsid w:val="000C68AD"/>
    <w:rsid w:val="000C7038"/>
    <w:rsid w:val="000C79F9"/>
    <w:rsid w:val="000C7A9B"/>
    <w:rsid w:val="000C7BDC"/>
    <w:rsid w:val="000C7FCC"/>
    <w:rsid w:val="000D01DD"/>
    <w:rsid w:val="000D057B"/>
    <w:rsid w:val="000D0EF1"/>
    <w:rsid w:val="000D1C43"/>
    <w:rsid w:val="000D1C58"/>
    <w:rsid w:val="000D2195"/>
    <w:rsid w:val="000D2246"/>
    <w:rsid w:val="000D24BE"/>
    <w:rsid w:val="000D2515"/>
    <w:rsid w:val="000D26E2"/>
    <w:rsid w:val="000D2CE9"/>
    <w:rsid w:val="000D2E92"/>
    <w:rsid w:val="000D3127"/>
    <w:rsid w:val="000D3638"/>
    <w:rsid w:val="000D3915"/>
    <w:rsid w:val="000D3FC4"/>
    <w:rsid w:val="000D411F"/>
    <w:rsid w:val="000D4257"/>
    <w:rsid w:val="000D4978"/>
    <w:rsid w:val="000D533B"/>
    <w:rsid w:val="000D546C"/>
    <w:rsid w:val="000D7058"/>
    <w:rsid w:val="000D74A3"/>
    <w:rsid w:val="000D78FC"/>
    <w:rsid w:val="000E11AD"/>
    <w:rsid w:val="000E14E1"/>
    <w:rsid w:val="000E18C3"/>
    <w:rsid w:val="000E2AEA"/>
    <w:rsid w:val="000E2C1B"/>
    <w:rsid w:val="000E354F"/>
    <w:rsid w:val="000E3569"/>
    <w:rsid w:val="000E35B6"/>
    <w:rsid w:val="000E373E"/>
    <w:rsid w:val="000E39EC"/>
    <w:rsid w:val="000E422D"/>
    <w:rsid w:val="000E44F5"/>
    <w:rsid w:val="000E466A"/>
    <w:rsid w:val="000E4807"/>
    <w:rsid w:val="000E4AD2"/>
    <w:rsid w:val="000E57AE"/>
    <w:rsid w:val="000E6155"/>
    <w:rsid w:val="000E6212"/>
    <w:rsid w:val="000E754F"/>
    <w:rsid w:val="000F00A0"/>
    <w:rsid w:val="000F0716"/>
    <w:rsid w:val="000F0B32"/>
    <w:rsid w:val="000F1877"/>
    <w:rsid w:val="000F1945"/>
    <w:rsid w:val="000F1AC8"/>
    <w:rsid w:val="000F1B53"/>
    <w:rsid w:val="000F1B78"/>
    <w:rsid w:val="000F1F4B"/>
    <w:rsid w:val="000F243C"/>
    <w:rsid w:val="000F295F"/>
    <w:rsid w:val="000F3179"/>
    <w:rsid w:val="000F3340"/>
    <w:rsid w:val="000F3706"/>
    <w:rsid w:val="000F3C89"/>
    <w:rsid w:val="000F47B6"/>
    <w:rsid w:val="000F48BD"/>
    <w:rsid w:val="000F4B78"/>
    <w:rsid w:val="000F4C25"/>
    <w:rsid w:val="000F4D49"/>
    <w:rsid w:val="000F6E66"/>
    <w:rsid w:val="000F71BC"/>
    <w:rsid w:val="000F7283"/>
    <w:rsid w:val="000F7288"/>
    <w:rsid w:val="000F741F"/>
    <w:rsid w:val="000F75E5"/>
    <w:rsid w:val="000F7B0D"/>
    <w:rsid w:val="000F7FB0"/>
    <w:rsid w:val="00100065"/>
    <w:rsid w:val="001007C7"/>
    <w:rsid w:val="00100826"/>
    <w:rsid w:val="00100B8E"/>
    <w:rsid w:val="00100BFA"/>
    <w:rsid w:val="00100DB2"/>
    <w:rsid w:val="00101722"/>
    <w:rsid w:val="00101CBC"/>
    <w:rsid w:val="00101D74"/>
    <w:rsid w:val="00101D82"/>
    <w:rsid w:val="00102CA5"/>
    <w:rsid w:val="0010359D"/>
    <w:rsid w:val="001036FA"/>
    <w:rsid w:val="00103AE0"/>
    <w:rsid w:val="00103D40"/>
    <w:rsid w:val="0010436E"/>
    <w:rsid w:val="00104857"/>
    <w:rsid w:val="00104F6B"/>
    <w:rsid w:val="00105563"/>
    <w:rsid w:val="001055B2"/>
    <w:rsid w:val="0010593F"/>
    <w:rsid w:val="00105F2A"/>
    <w:rsid w:val="001060AF"/>
    <w:rsid w:val="001062DC"/>
    <w:rsid w:val="00106536"/>
    <w:rsid w:val="00106B57"/>
    <w:rsid w:val="00106D78"/>
    <w:rsid w:val="0010702E"/>
    <w:rsid w:val="001077DC"/>
    <w:rsid w:val="00107859"/>
    <w:rsid w:val="00107B41"/>
    <w:rsid w:val="0011091C"/>
    <w:rsid w:val="00110C1F"/>
    <w:rsid w:val="00111372"/>
    <w:rsid w:val="0011152E"/>
    <w:rsid w:val="001117F6"/>
    <w:rsid w:val="00111831"/>
    <w:rsid w:val="0011238B"/>
    <w:rsid w:val="001126C4"/>
    <w:rsid w:val="00112915"/>
    <w:rsid w:val="00112979"/>
    <w:rsid w:val="001129E4"/>
    <w:rsid w:val="00112BDA"/>
    <w:rsid w:val="00112D9E"/>
    <w:rsid w:val="00113496"/>
    <w:rsid w:val="00113AF8"/>
    <w:rsid w:val="00113B3D"/>
    <w:rsid w:val="00113D38"/>
    <w:rsid w:val="00113E90"/>
    <w:rsid w:val="00114AC5"/>
    <w:rsid w:val="0011533C"/>
    <w:rsid w:val="001165EB"/>
    <w:rsid w:val="0011667D"/>
    <w:rsid w:val="00116C8D"/>
    <w:rsid w:val="00116E11"/>
    <w:rsid w:val="00116F03"/>
    <w:rsid w:val="001171F7"/>
    <w:rsid w:val="001174D6"/>
    <w:rsid w:val="00117678"/>
    <w:rsid w:val="00117B68"/>
    <w:rsid w:val="00120E26"/>
    <w:rsid w:val="001213BE"/>
    <w:rsid w:val="00121AE0"/>
    <w:rsid w:val="00121B72"/>
    <w:rsid w:val="001224D0"/>
    <w:rsid w:val="00122DFD"/>
    <w:rsid w:val="00123011"/>
    <w:rsid w:val="001233B6"/>
    <w:rsid w:val="00123420"/>
    <w:rsid w:val="00124BA7"/>
    <w:rsid w:val="001250BA"/>
    <w:rsid w:val="001256F7"/>
    <w:rsid w:val="00125AEB"/>
    <w:rsid w:val="00125E4A"/>
    <w:rsid w:val="00125F35"/>
    <w:rsid w:val="00126A7C"/>
    <w:rsid w:val="00126CCB"/>
    <w:rsid w:val="00127184"/>
    <w:rsid w:val="0012776D"/>
    <w:rsid w:val="00127915"/>
    <w:rsid w:val="00127DAD"/>
    <w:rsid w:val="00130A0D"/>
    <w:rsid w:val="00131333"/>
    <w:rsid w:val="00132973"/>
    <w:rsid w:val="00132F2B"/>
    <w:rsid w:val="001341EB"/>
    <w:rsid w:val="001342DD"/>
    <w:rsid w:val="0013466D"/>
    <w:rsid w:val="0013483D"/>
    <w:rsid w:val="00134C36"/>
    <w:rsid w:val="00134CD6"/>
    <w:rsid w:val="00134D19"/>
    <w:rsid w:val="001351F5"/>
    <w:rsid w:val="00135699"/>
    <w:rsid w:val="001359D3"/>
    <w:rsid w:val="00135EE4"/>
    <w:rsid w:val="001365BC"/>
    <w:rsid w:val="00136B2E"/>
    <w:rsid w:val="001370BA"/>
    <w:rsid w:val="0013737A"/>
    <w:rsid w:val="00137771"/>
    <w:rsid w:val="00137DAB"/>
    <w:rsid w:val="00140283"/>
    <w:rsid w:val="001405D8"/>
    <w:rsid w:val="00140603"/>
    <w:rsid w:val="001407A2"/>
    <w:rsid w:val="0014140E"/>
    <w:rsid w:val="00141CBE"/>
    <w:rsid w:val="00141F4E"/>
    <w:rsid w:val="0014252A"/>
    <w:rsid w:val="00142554"/>
    <w:rsid w:val="00143AB3"/>
    <w:rsid w:val="00144564"/>
    <w:rsid w:val="001445E3"/>
    <w:rsid w:val="00145F62"/>
    <w:rsid w:val="00146FAF"/>
    <w:rsid w:val="00147189"/>
    <w:rsid w:val="00147600"/>
    <w:rsid w:val="00147A28"/>
    <w:rsid w:val="00147FBC"/>
    <w:rsid w:val="00150306"/>
    <w:rsid w:val="00150831"/>
    <w:rsid w:val="0015116C"/>
    <w:rsid w:val="001515EB"/>
    <w:rsid w:val="0015188E"/>
    <w:rsid w:val="00151EEC"/>
    <w:rsid w:val="0015252F"/>
    <w:rsid w:val="00152F65"/>
    <w:rsid w:val="001531CF"/>
    <w:rsid w:val="00153337"/>
    <w:rsid w:val="0015336D"/>
    <w:rsid w:val="001535FD"/>
    <w:rsid w:val="00153961"/>
    <w:rsid w:val="00153E49"/>
    <w:rsid w:val="00153F95"/>
    <w:rsid w:val="00154976"/>
    <w:rsid w:val="00154C90"/>
    <w:rsid w:val="00154D7F"/>
    <w:rsid w:val="0015648A"/>
    <w:rsid w:val="00156FB3"/>
    <w:rsid w:val="00157086"/>
    <w:rsid w:val="0015719B"/>
    <w:rsid w:val="001578B6"/>
    <w:rsid w:val="00157938"/>
    <w:rsid w:val="00157A50"/>
    <w:rsid w:val="00157CAF"/>
    <w:rsid w:val="00160FEB"/>
    <w:rsid w:val="001612D6"/>
    <w:rsid w:val="0016160F"/>
    <w:rsid w:val="00161616"/>
    <w:rsid w:val="001619B5"/>
    <w:rsid w:val="00161D31"/>
    <w:rsid w:val="00161DF6"/>
    <w:rsid w:val="00162E94"/>
    <w:rsid w:val="001633EE"/>
    <w:rsid w:val="00163BE5"/>
    <w:rsid w:val="001640C7"/>
    <w:rsid w:val="00164454"/>
    <w:rsid w:val="001645DE"/>
    <w:rsid w:val="0016471E"/>
    <w:rsid w:val="00164EBB"/>
    <w:rsid w:val="001659E2"/>
    <w:rsid w:val="001661D6"/>
    <w:rsid w:val="00166272"/>
    <w:rsid w:val="00166E45"/>
    <w:rsid w:val="0016727D"/>
    <w:rsid w:val="001676B5"/>
    <w:rsid w:val="001679FB"/>
    <w:rsid w:val="001700A0"/>
    <w:rsid w:val="001701F1"/>
    <w:rsid w:val="001703A2"/>
    <w:rsid w:val="001709AD"/>
    <w:rsid w:val="00170D68"/>
    <w:rsid w:val="00170EF8"/>
    <w:rsid w:val="00171438"/>
    <w:rsid w:val="00171C3C"/>
    <w:rsid w:val="00171CB7"/>
    <w:rsid w:val="00171DBE"/>
    <w:rsid w:val="0017239C"/>
    <w:rsid w:val="0017296F"/>
    <w:rsid w:val="00172A1D"/>
    <w:rsid w:val="00172F90"/>
    <w:rsid w:val="001734DA"/>
    <w:rsid w:val="00174A39"/>
    <w:rsid w:val="00174E51"/>
    <w:rsid w:val="00174FBA"/>
    <w:rsid w:val="001750A8"/>
    <w:rsid w:val="001753E3"/>
    <w:rsid w:val="00176904"/>
    <w:rsid w:val="00176C92"/>
    <w:rsid w:val="00176D6F"/>
    <w:rsid w:val="00176FC1"/>
    <w:rsid w:val="00177348"/>
    <w:rsid w:val="001773B2"/>
    <w:rsid w:val="00177A64"/>
    <w:rsid w:val="00177FEE"/>
    <w:rsid w:val="001803B1"/>
    <w:rsid w:val="00180912"/>
    <w:rsid w:val="00181028"/>
    <w:rsid w:val="00182062"/>
    <w:rsid w:val="00182320"/>
    <w:rsid w:val="001845A0"/>
    <w:rsid w:val="001847D7"/>
    <w:rsid w:val="00185103"/>
    <w:rsid w:val="001854E5"/>
    <w:rsid w:val="00185833"/>
    <w:rsid w:val="00185C46"/>
    <w:rsid w:val="00185EED"/>
    <w:rsid w:val="00186042"/>
    <w:rsid w:val="001868CC"/>
    <w:rsid w:val="00186FD6"/>
    <w:rsid w:val="001871AC"/>
    <w:rsid w:val="00187378"/>
    <w:rsid w:val="00187C3A"/>
    <w:rsid w:val="00190862"/>
    <w:rsid w:val="00191241"/>
    <w:rsid w:val="001918FA"/>
    <w:rsid w:val="0019215E"/>
    <w:rsid w:val="00192997"/>
    <w:rsid w:val="00192F18"/>
    <w:rsid w:val="00193794"/>
    <w:rsid w:val="001938E5"/>
    <w:rsid w:val="00193B9A"/>
    <w:rsid w:val="001940E5"/>
    <w:rsid w:val="001941CC"/>
    <w:rsid w:val="00194377"/>
    <w:rsid w:val="0019478E"/>
    <w:rsid w:val="00195489"/>
    <w:rsid w:val="00195C82"/>
    <w:rsid w:val="00195FFE"/>
    <w:rsid w:val="00196572"/>
    <w:rsid w:val="00196932"/>
    <w:rsid w:val="00196C0D"/>
    <w:rsid w:val="00196D07"/>
    <w:rsid w:val="00197004"/>
    <w:rsid w:val="00197120"/>
    <w:rsid w:val="00197468"/>
    <w:rsid w:val="0019770E"/>
    <w:rsid w:val="0019782A"/>
    <w:rsid w:val="00197CF2"/>
    <w:rsid w:val="001A0292"/>
    <w:rsid w:val="001A030E"/>
    <w:rsid w:val="001A0711"/>
    <w:rsid w:val="001A074D"/>
    <w:rsid w:val="001A0C37"/>
    <w:rsid w:val="001A0CAA"/>
    <w:rsid w:val="001A0D2E"/>
    <w:rsid w:val="001A1435"/>
    <w:rsid w:val="001A1AB4"/>
    <w:rsid w:val="001A1CB1"/>
    <w:rsid w:val="001A1D63"/>
    <w:rsid w:val="001A20B0"/>
    <w:rsid w:val="001A27E3"/>
    <w:rsid w:val="001A391A"/>
    <w:rsid w:val="001A393C"/>
    <w:rsid w:val="001A3D51"/>
    <w:rsid w:val="001A4276"/>
    <w:rsid w:val="001A450D"/>
    <w:rsid w:val="001A52E5"/>
    <w:rsid w:val="001A537A"/>
    <w:rsid w:val="001A53FB"/>
    <w:rsid w:val="001A625F"/>
    <w:rsid w:val="001A64A1"/>
    <w:rsid w:val="001A6D6E"/>
    <w:rsid w:val="001A6D75"/>
    <w:rsid w:val="001A706D"/>
    <w:rsid w:val="001A7133"/>
    <w:rsid w:val="001A7B07"/>
    <w:rsid w:val="001B07C9"/>
    <w:rsid w:val="001B07FE"/>
    <w:rsid w:val="001B08D6"/>
    <w:rsid w:val="001B0CCD"/>
    <w:rsid w:val="001B122F"/>
    <w:rsid w:val="001B12E5"/>
    <w:rsid w:val="001B12E8"/>
    <w:rsid w:val="001B1CC9"/>
    <w:rsid w:val="001B2175"/>
    <w:rsid w:val="001B254C"/>
    <w:rsid w:val="001B29A5"/>
    <w:rsid w:val="001B3346"/>
    <w:rsid w:val="001B3573"/>
    <w:rsid w:val="001B41C5"/>
    <w:rsid w:val="001B42C2"/>
    <w:rsid w:val="001B45D1"/>
    <w:rsid w:val="001B48A3"/>
    <w:rsid w:val="001B4F49"/>
    <w:rsid w:val="001B5160"/>
    <w:rsid w:val="001B5A03"/>
    <w:rsid w:val="001B5E0B"/>
    <w:rsid w:val="001B607B"/>
    <w:rsid w:val="001B61CD"/>
    <w:rsid w:val="001B64D5"/>
    <w:rsid w:val="001B675F"/>
    <w:rsid w:val="001B6892"/>
    <w:rsid w:val="001B6FE2"/>
    <w:rsid w:val="001B711D"/>
    <w:rsid w:val="001B7302"/>
    <w:rsid w:val="001B73FE"/>
    <w:rsid w:val="001B7590"/>
    <w:rsid w:val="001B7CBD"/>
    <w:rsid w:val="001B7D3F"/>
    <w:rsid w:val="001B7E63"/>
    <w:rsid w:val="001B7F55"/>
    <w:rsid w:val="001C0140"/>
    <w:rsid w:val="001C118E"/>
    <w:rsid w:val="001C14E2"/>
    <w:rsid w:val="001C185E"/>
    <w:rsid w:val="001C1932"/>
    <w:rsid w:val="001C1C74"/>
    <w:rsid w:val="001C2070"/>
    <w:rsid w:val="001C2388"/>
    <w:rsid w:val="001C2556"/>
    <w:rsid w:val="001C25D2"/>
    <w:rsid w:val="001C360C"/>
    <w:rsid w:val="001C3696"/>
    <w:rsid w:val="001C3ED8"/>
    <w:rsid w:val="001C40B6"/>
    <w:rsid w:val="001C4570"/>
    <w:rsid w:val="001C4940"/>
    <w:rsid w:val="001C4E4C"/>
    <w:rsid w:val="001C513F"/>
    <w:rsid w:val="001C5378"/>
    <w:rsid w:val="001C53DC"/>
    <w:rsid w:val="001C574F"/>
    <w:rsid w:val="001C57A0"/>
    <w:rsid w:val="001C5973"/>
    <w:rsid w:val="001C607D"/>
    <w:rsid w:val="001C60E6"/>
    <w:rsid w:val="001C6CDD"/>
    <w:rsid w:val="001C6E50"/>
    <w:rsid w:val="001C7249"/>
    <w:rsid w:val="001C76F0"/>
    <w:rsid w:val="001C7819"/>
    <w:rsid w:val="001D00D6"/>
    <w:rsid w:val="001D03BB"/>
    <w:rsid w:val="001D08BA"/>
    <w:rsid w:val="001D0BF7"/>
    <w:rsid w:val="001D1083"/>
    <w:rsid w:val="001D198A"/>
    <w:rsid w:val="001D1A39"/>
    <w:rsid w:val="001D24A7"/>
    <w:rsid w:val="001D2719"/>
    <w:rsid w:val="001D27C6"/>
    <w:rsid w:val="001D2931"/>
    <w:rsid w:val="001D2EA5"/>
    <w:rsid w:val="001D2F87"/>
    <w:rsid w:val="001D3088"/>
    <w:rsid w:val="001D348C"/>
    <w:rsid w:val="001D36DE"/>
    <w:rsid w:val="001D3712"/>
    <w:rsid w:val="001D3C25"/>
    <w:rsid w:val="001D40EA"/>
    <w:rsid w:val="001D4165"/>
    <w:rsid w:val="001D440D"/>
    <w:rsid w:val="001D46A8"/>
    <w:rsid w:val="001D4819"/>
    <w:rsid w:val="001D499A"/>
    <w:rsid w:val="001D523D"/>
    <w:rsid w:val="001D5AF1"/>
    <w:rsid w:val="001D6147"/>
    <w:rsid w:val="001D6192"/>
    <w:rsid w:val="001D62C9"/>
    <w:rsid w:val="001D6840"/>
    <w:rsid w:val="001D6BF6"/>
    <w:rsid w:val="001D6DBE"/>
    <w:rsid w:val="001D6FDD"/>
    <w:rsid w:val="001D704E"/>
    <w:rsid w:val="001D7092"/>
    <w:rsid w:val="001D70BD"/>
    <w:rsid w:val="001D73EE"/>
    <w:rsid w:val="001D7BB4"/>
    <w:rsid w:val="001D7CAA"/>
    <w:rsid w:val="001D7FB5"/>
    <w:rsid w:val="001E04C6"/>
    <w:rsid w:val="001E051E"/>
    <w:rsid w:val="001E114C"/>
    <w:rsid w:val="001E155D"/>
    <w:rsid w:val="001E1B62"/>
    <w:rsid w:val="001E1B8D"/>
    <w:rsid w:val="001E1D86"/>
    <w:rsid w:val="001E28FA"/>
    <w:rsid w:val="001E2A8F"/>
    <w:rsid w:val="001E2F8E"/>
    <w:rsid w:val="001E2FEF"/>
    <w:rsid w:val="001E39C0"/>
    <w:rsid w:val="001E3D2B"/>
    <w:rsid w:val="001E43A2"/>
    <w:rsid w:val="001E4F70"/>
    <w:rsid w:val="001E524D"/>
    <w:rsid w:val="001E528B"/>
    <w:rsid w:val="001E5B1B"/>
    <w:rsid w:val="001E5F78"/>
    <w:rsid w:val="001E69C1"/>
    <w:rsid w:val="001E6C25"/>
    <w:rsid w:val="001E6E2A"/>
    <w:rsid w:val="001E7CD2"/>
    <w:rsid w:val="001F0A2A"/>
    <w:rsid w:val="001F0BDB"/>
    <w:rsid w:val="001F0E30"/>
    <w:rsid w:val="001F1104"/>
    <w:rsid w:val="001F163B"/>
    <w:rsid w:val="001F1A4E"/>
    <w:rsid w:val="001F1CB5"/>
    <w:rsid w:val="001F1DA2"/>
    <w:rsid w:val="001F1E20"/>
    <w:rsid w:val="001F1F64"/>
    <w:rsid w:val="001F23C1"/>
    <w:rsid w:val="001F242B"/>
    <w:rsid w:val="001F29D5"/>
    <w:rsid w:val="001F2B9D"/>
    <w:rsid w:val="001F3000"/>
    <w:rsid w:val="001F34E0"/>
    <w:rsid w:val="001F35E6"/>
    <w:rsid w:val="001F3DD0"/>
    <w:rsid w:val="001F4176"/>
    <w:rsid w:val="001F440C"/>
    <w:rsid w:val="001F4430"/>
    <w:rsid w:val="001F4544"/>
    <w:rsid w:val="001F473F"/>
    <w:rsid w:val="001F4BE1"/>
    <w:rsid w:val="001F4FAD"/>
    <w:rsid w:val="001F53B5"/>
    <w:rsid w:val="001F5BBC"/>
    <w:rsid w:val="001F5DB3"/>
    <w:rsid w:val="001F5E5D"/>
    <w:rsid w:val="001F6A02"/>
    <w:rsid w:val="001F6D85"/>
    <w:rsid w:val="001F72AE"/>
    <w:rsid w:val="001F75F3"/>
    <w:rsid w:val="001F7720"/>
    <w:rsid w:val="001F795B"/>
    <w:rsid w:val="001F79B3"/>
    <w:rsid w:val="001F7E58"/>
    <w:rsid w:val="00200208"/>
    <w:rsid w:val="002004CC"/>
    <w:rsid w:val="002004FA"/>
    <w:rsid w:val="00200723"/>
    <w:rsid w:val="00200854"/>
    <w:rsid w:val="00201BAC"/>
    <w:rsid w:val="00201D3F"/>
    <w:rsid w:val="00202414"/>
    <w:rsid w:val="002026A5"/>
    <w:rsid w:val="00202E2C"/>
    <w:rsid w:val="0020313C"/>
    <w:rsid w:val="0020394E"/>
    <w:rsid w:val="00203A2D"/>
    <w:rsid w:val="00203C88"/>
    <w:rsid w:val="00203E35"/>
    <w:rsid w:val="00203FB3"/>
    <w:rsid w:val="00204370"/>
    <w:rsid w:val="002045E0"/>
    <w:rsid w:val="00204729"/>
    <w:rsid w:val="00204E91"/>
    <w:rsid w:val="0020560F"/>
    <w:rsid w:val="00205691"/>
    <w:rsid w:val="00205698"/>
    <w:rsid w:val="0020634B"/>
    <w:rsid w:val="0020637D"/>
    <w:rsid w:val="00207013"/>
    <w:rsid w:val="0020750F"/>
    <w:rsid w:val="0020759B"/>
    <w:rsid w:val="002075B9"/>
    <w:rsid w:val="00207A3E"/>
    <w:rsid w:val="00207DE7"/>
    <w:rsid w:val="002101BA"/>
    <w:rsid w:val="00210829"/>
    <w:rsid w:val="00210BBF"/>
    <w:rsid w:val="00210D23"/>
    <w:rsid w:val="0021180A"/>
    <w:rsid w:val="00211A3E"/>
    <w:rsid w:val="00211E9C"/>
    <w:rsid w:val="00212497"/>
    <w:rsid w:val="00212547"/>
    <w:rsid w:val="00212893"/>
    <w:rsid w:val="00213094"/>
    <w:rsid w:val="00213113"/>
    <w:rsid w:val="00213812"/>
    <w:rsid w:val="00213F7D"/>
    <w:rsid w:val="002140A0"/>
    <w:rsid w:val="002141E1"/>
    <w:rsid w:val="0021433F"/>
    <w:rsid w:val="00214375"/>
    <w:rsid w:val="00214420"/>
    <w:rsid w:val="0021442E"/>
    <w:rsid w:val="002146C8"/>
    <w:rsid w:val="002146EB"/>
    <w:rsid w:val="0021470E"/>
    <w:rsid w:val="00215644"/>
    <w:rsid w:val="00216190"/>
    <w:rsid w:val="0021687D"/>
    <w:rsid w:val="0021759A"/>
    <w:rsid w:val="002175BB"/>
    <w:rsid w:val="00217BF3"/>
    <w:rsid w:val="00217C1C"/>
    <w:rsid w:val="00217D24"/>
    <w:rsid w:val="00220211"/>
    <w:rsid w:val="00220337"/>
    <w:rsid w:val="0022061D"/>
    <w:rsid w:val="002213FD"/>
    <w:rsid w:val="002216F4"/>
    <w:rsid w:val="002219A1"/>
    <w:rsid w:val="00221BA8"/>
    <w:rsid w:val="00221ED5"/>
    <w:rsid w:val="00221EF2"/>
    <w:rsid w:val="00222097"/>
    <w:rsid w:val="002228BE"/>
    <w:rsid w:val="002232B7"/>
    <w:rsid w:val="00223466"/>
    <w:rsid w:val="002235A5"/>
    <w:rsid w:val="00223C58"/>
    <w:rsid w:val="00223FFF"/>
    <w:rsid w:val="002243AD"/>
    <w:rsid w:val="00224E6F"/>
    <w:rsid w:val="00224F24"/>
    <w:rsid w:val="002250AB"/>
    <w:rsid w:val="0022525C"/>
    <w:rsid w:val="0022550A"/>
    <w:rsid w:val="00225556"/>
    <w:rsid w:val="00225616"/>
    <w:rsid w:val="002256AE"/>
    <w:rsid w:val="00225CEA"/>
    <w:rsid w:val="00225D68"/>
    <w:rsid w:val="00225D8B"/>
    <w:rsid w:val="0022617D"/>
    <w:rsid w:val="00226423"/>
    <w:rsid w:val="0022693F"/>
    <w:rsid w:val="00226E49"/>
    <w:rsid w:val="002279B3"/>
    <w:rsid w:val="00227AFB"/>
    <w:rsid w:val="00230858"/>
    <w:rsid w:val="0023113C"/>
    <w:rsid w:val="00231517"/>
    <w:rsid w:val="00231B09"/>
    <w:rsid w:val="00231D0C"/>
    <w:rsid w:val="00231F3A"/>
    <w:rsid w:val="002324E4"/>
    <w:rsid w:val="00232A80"/>
    <w:rsid w:val="002331D3"/>
    <w:rsid w:val="0023394E"/>
    <w:rsid w:val="00233D0D"/>
    <w:rsid w:val="002347E5"/>
    <w:rsid w:val="00234BC3"/>
    <w:rsid w:val="00234BDD"/>
    <w:rsid w:val="0023504F"/>
    <w:rsid w:val="00235246"/>
    <w:rsid w:val="002355AE"/>
    <w:rsid w:val="00235969"/>
    <w:rsid w:val="00235B23"/>
    <w:rsid w:val="00235C6B"/>
    <w:rsid w:val="0023603E"/>
    <w:rsid w:val="00236E69"/>
    <w:rsid w:val="00237030"/>
    <w:rsid w:val="00237541"/>
    <w:rsid w:val="002375ED"/>
    <w:rsid w:val="00237CDC"/>
    <w:rsid w:val="002402C5"/>
    <w:rsid w:val="002402E4"/>
    <w:rsid w:val="00240703"/>
    <w:rsid w:val="00240A0F"/>
    <w:rsid w:val="00240BCF"/>
    <w:rsid w:val="00240DAE"/>
    <w:rsid w:val="00240E6E"/>
    <w:rsid w:val="00240F01"/>
    <w:rsid w:val="00241439"/>
    <w:rsid w:val="002414CB"/>
    <w:rsid w:val="00241871"/>
    <w:rsid w:val="00241B57"/>
    <w:rsid w:val="00241CE5"/>
    <w:rsid w:val="00241DAC"/>
    <w:rsid w:val="00241FAD"/>
    <w:rsid w:val="00242224"/>
    <w:rsid w:val="00242641"/>
    <w:rsid w:val="0024286C"/>
    <w:rsid w:val="00242CDC"/>
    <w:rsid w:val="00242E10"/>
    <w:rsid w:val="002437D0"/>
    <w:rsid w:val="00243CF3"/>
    <w:rsid w:val="00243F99"/>
    <w:rsid w:val="00243FF1"/>
    <w:rsid w:val="002445CC"/>
    <w:rsid w:val="00244A10"/>
    <w:rsid w:val="00244A58"/>
    <w:rsid w:val="002450A3"/>
    <w:rsid w:val="0024511B"/>
    <w:rsid w:val="0024557C"/>
    <w:rsid w:val="002457C2"/>
    <w:rsid w:val="00245C2F"/>
    <w:rsid w:val="00247063"/>
    <w:rsid w:val="0024746B"/>
    <w:rsid w:val="00247761"/>
    <w:rsid w:val="00247A78"/>
    <w:rsid w:val="00247BB7"/>
    <w:rsid w:val="0025006C"/>
    <w:rsid w:val="002500C0"/>
    <w:rsid w:val="0025020E"/>
    <w:rsid w:val="00251542"/>
    <w:rsid w:val="00251646"/>
    <w:rsid w:val="00251DF9"/>
    <w:rsid w:val="00251F05"/>
    <w:rsid w:val="0025239B"/>
    <w:rsid w:val="002526C2"/>
    <w:rsid w:val="002529F8"/>
    <w:rsid w:val="00253CEE"/>
    <w:rsid w:val="00253EA2"/>
    <w:rsid w:val="00254054"/>
    <w:rsid w:val="002540C2"/>
    <w:rsid w:val="0025477B"/>
    <w:rsid w:val="002548E6"/>
    <w:rsid w:val="00254A68"/>
    <w:rsid w:val="00255454"/>
    <w:rsid w:val="002556E8"/>
    <w:rsid w:val="0025616E"/>
    <w:rsid w:val="00256738"/>
    <w:rsid w:val="002569D9"/>
    <w:rsid w:val="00256E5C"/>
    <w:rsid w:val="00257005"/>
    <w:rsid w:val="00257254"/>
    <w:rsid w:val="00257669"/>
    <w:rsid w:val="00257762"/>
    <w:rsid w:val="00257B4D"/>
    <w:rsid w:val="00257B53"/>
    <w:rsid w:val="002605B2"/>
    <w:rsid w:val="00260C2E"/>
    <w:rsid w:val="00260E0C"/>
    <w:rsid w:val="00261298"/>
    <w:rsid w:val="002613C6"/>
    <w:rsid w:val="002617B2"/>
    <w:rsid w:val="002633AA"/>
    <w:rsid w:val="002638D9"/>
    <w:rsid w:val="00263D5A"/>
    <w:rsid w:val="00264443"/>
    <w:rsid w:val="00264485"/>
    <w:rsid w:val="00266307"/>
    <w:rsid w:val="002663FC"/>
    <w:rsid w:val="00266CA5"/>
    <w:rsid w:val="00267624"/>
    <w:rsid w:val="002678B3"/>
    <w:rsid w:val="00267990"/>
    <w:rsid w:val="00267A30"/>
    <w:rsid w:val="00267E44"/>
    <w:rsid w:val="00267F78"/>
    <w:rsid w:val="00270533"/>
    <w:rsid w:val="00270AFF"/>
    <w:rsid w:val="00270BF7"/>
    <w:rsid w:val="00270DBE"/>
    <w:rsid w:val="00271EA8"/>
    <w:rsid w:val="00272124"/>
    <w:rsid w:val="00272171"/>
    <w:rsid w:val="002721B1"/>
    <w:rsid w:val="00272C88"/>
    <w:rsid w:val="002737F2"/>
    <w:rsid w:val="00273C1A"/>
    <w:rsid w:val="00273EBB"/>
    <w:rsid w:val="00274320"/>
    <w:rsid w:val="00274576"/>
    <w:rsid w:val="00274A75"/>
    <w:rsid w:val="00274B86"/>
    <w:rsid w:val="00274F24"/>
    <w:rsid w:val="00275937"/>
    <w:rsid w:val="002763F7"/>
    <w:rsid w:val="002770AC"/>
    <w:rsid w:val="0027719B"/>
    <w:rsid w:val="00277BF8"/>
    <w:rsid w:val="00277F54"/>
    <w:rsid w:val="002804C0"/>
    <w:rsid w:val="002809B0"/>
    <w:rsid w:val="00280AE1"/>
    <w:rsid w:val="00280B1F"/>
    <w:rsid w:val="00280DD6"/>
    <w:rsid w:val="00281B93"/>
    <w:rsid w:val="002820D6"/>
    <w:rsid w:val="00282BC0"/>
    <w:rsid w:val="00283536"/>
    <w:rsid w:val="00283C53"/>
    <w:rsid w:val="00283F5A"/>
    <w:rsid w:val="00284236"/>
    <w:rsid w:val="0028448E"/>
    <w:rsid w:val="00284566"/>
    <w:rsid w:val="00284F1A"/>
    <w:rsid w:val="002854EA"/>
    <w:rsid w:val="00285790"/>
    <w:rsid w:val="0028587D"/>
    <w:rsid w:val="00285BEB"/>
    <w:rsid w:val="002868A5"/>
    <w:rsid w:val="00286D68"/>
    <w:rsid w:val="0028747F"/>
    <w:rsid w:val="00287645"/>
    <w:rsid w:val="00287B91"/>
    <w:rsid w:val="00287C93"/>
    <w:rsid w:val="00287DD5"/>
    <w:rsid w:val="00290316"/>
    <w:rsid w:val="00290A0C"/>
    <w:rsid w:val="002912C5"/>
    <w:rsid w:val="00291C0B"/>
    <w:rsid w:val="00291F65"/>
    <w:rsid w:val="00292ACB"/>
    <w:rsid w:val="00292EA1"/>
    <w:rsid w:val="002937CA"/>
    <w:rsid w:val="002938E5"/>
    <w:rsid w:val="00293D07"/>
    <w:rsid w:val="00293D9A"/>
    <w:rsid w:val="0029404A"/>
    <w:rsid w:val="002946CB"/>
    <w:rsid w:val="00294738"/>
    <w:rsid w:val="002948E6"/>
    <w:rsid w:val="00294B5A"/>
    <w:rsid w:val="00294D3A"/>
    <w:rsid w:val="002958EB"/>
    <w:rsid w:val="002959CD"/>
    <w:rsid w:val="00295DB9"/>
    <w:rsid w:val="00296155"/>
    <w:rsid w:val="00296891"/>
    <w:rsid w:val="00296F0C"/>
    <w:rsid w:val="002A06D2"/>
    <w:rsid w:val="002A0720"/>
    <w:rsid w:val="002A0BDC"/>
    <w:rsid w:val="002A0C1F"/>
    <w:rsid w:val="002A123E"/>
    <w:rsid w:val="002A1357"/>
    <w:rsid w:val="002A14FF"/>
    <w:rsid w:val="002A17DF"/>
    <w:rsid w:val="002A183C"/>
    <w:rsid w:val="002A1963"/>
    <w:rsid w:val="002A1AEB"/>
    <w:rsid w:val="002A1E60"/>
    <w:rsid w:val="002A1ED6"/>
    <w:rsid w:val="002A4623"/>
    <w:rsid w:val="002A47AB"/>
    <w:rsid w:val="002A4C27"/>
    <w:rsid w:val="002A4D2B"/>
    <w:rsid w:val="002A4FF4"/>
    <w:rsid w:val="002A5043"/>
    <w:rsid w:val="002A586C"/>
    <w:rsid w:val="002A5A5B"/>
    <w:rsid w:val="002A5E79"/>
    <w:rsid w:val="002A61D4"/>
    <w:rsid w:val="002A6BEF"/>
    <w:rsid w:val="002A7C13"/>
    <w:rsid w:val="002A7DCD"/>
    <w:rsid w:val="002A7E97"/>
    <w:rsid w:val="002B05D2"/>
    <w:rsid w:val="002B0683"/>
    <w:rsid w:val="002B0925"/>
    <w:rsid w:val="002B0A4C"/>
    <w:rsid w:val="002B184A"/>
    <w:rsid w:val="002B1C00"/>
    <w:rsid w:val="002B1E05"/>
    <w:rsid w:val="002B269A"/>
    <w:rsid w:val="002B2987"/>
    <w:rsid w:val="002B2F35"/>
    <w:rsid w:val="002B2FD7"/>
    <w:rsid w:val="002B3595"/>
    <w:rsid w:val="002B35E4"/>
    <w:rsid w:val="002B3796"/>
    <w:rsid w:val="002B3CC8"/>
    <w:rsid w:val="002B54ED"/>
    <w:rsid w:val="002B54FB"/>
    <w:rsid w:val="002B5626"/>
    <w:rsid w:val="002B5BB9"/>
    <w:rsid w:val="002B6270"/>
    <w:rsid w:val="002B668E"/>
    <w:rsid w:val="002B67A3"/>
    <w:rsid w:val="002B6978"/>
    <w:rsid w:val="002B6BFD"/>
    <w:rsid w:val="002B74D6"/>
    <w:rsid w:val="002B759C"/>
    <w:rsid w:val="002B788D"/>
    <w:rsid w:val="002B7AB2"/>
    <w:rsid w:val="002C0344"/>
    <w:rsid w:val="002C05E9"/>
    <w:rsid w:val="002C0A31"/>
    <w:rsid w:val="002C0CC9"/>
    <w:rsid w:val="002C0E60"/>
    <w:rsid w:val="002C13E3"/>
    <w:rsid w:val="002C16AB"/>
    <w:rsid w:val="002C170A"/>
    <w:rsid w:val="002C264F"/>
    <w:rsid w:val="002C269C"/>
    <w:rsid w:val="002C2F6C"/>
    <w:rsid w:val="002C3095"/>
    <w:rsid w:val="002C3389"/>
    <w:rsid w:val="002C3599"/>
    <w:rsid w:val="002C37B0"/>
    <w:rsid w:val="002C38C0"/>
    <w:rsid w:val="002C3B1E"/>
    <w:rsid w:val="002C40FB"/>
    <w:rsid w:val="002C43F9"/>
    <w:rsid w:val="002C44D8"/>
    <w:rsid w:val="002C4547"/>
    <w:rsid w:val="002C46B8"/>
    <w:rsid w:val="002C4A50"/>
    <w:rsid w:val="002C4B48"/>
    <w:rsid w:val="002C4B69"/>
    <w:rsid w:val="002C51F7"/>
    <w:rsid w:val="002C667B"/>
    <w:rsid w:val="002C6984"/>
    <w:rsid w:val="002C7856"/>
    <w:rsid w:val="002D02C8"/>
    <w:rsid w:val="002D0E40"/>
    <w:rsid w:val="002D1D6A"/>
    <w:rsid w:val="002D38F4"/>
    <w:rsid w:val="002D3B0A"/>
    <w:rsid w:val="002D439D"/>
    <w:rsid w:val="002D4563"/>
    <w:rsid w:val="002D4C0D"/>
    <w:rsid w:val="002D4CF0"/>
    <w:rsid w:val="002D4DA2"/>
    <w:rsid w:val="002D4F46"/>
    <w:rsid w:val="002D4FF3"/>
    <w:rsid w:val="002D52A5"/>
    <w:rsid w:val="002D53F9"/>
    <w:rsid w:val="002D563D"/>
    <w:rsid w:val="002D5D2C"/>
    <w:rsid w:val="002D60C2"/>
    <w:rsid w:val="002D60E1"/>
    <w:rsid w:val="002D687B"/>
    <w:rsid w:val="002D6A5C"/>
    <w:rsid w:val="002D6C45"/>
    <w:rsid w:val="002D6E29"/>
    <w:rsid w:val="002D6ED6"/>
    <w:rsid w:val="002D7096"/>
    <w:rsid w:val="002D712C"/>
    <w:rsid w:val="002D79AB"/>
    <w:rsid w:val="002D7BF9"/>
    <w:rsid w:val="002D7C7E"/>
    <w:rsid w:val="002D7D01"/>
    <w:rsid w:val="002E0022"/>
    <w:rsid w:val="002E03C3"/>
    <w:rsid w:val="002E0510"/>
    <w:rsid w:val="002E0539"/>
    <w:rsid w:val="002E0E24"/>
    <w:rsid w:val="002E0F09"/>
    <w:rsid w:val="002E12D9"/>
    <w:rsid w:val="002E1944"/>
    <w:rsid w:val="002E2730"/>
    <w:rsid w:val="002E4D5D"/>
    <w:rsid w:val="002E532C"/>
    <w:rsid w:val="002E5839"/>
    <w:rsid w:val="002E650A"/>
    <w:rsid w:val="002E6BF7"/>
    <w:rsid w:val="002E7093"/>
    <w:rsid w:val="002E785C"/>
    <w:rsid w:val="002E7AF4"/>
    <w:rsid w:val="002E7B83"/>
    <w:rsid w:val="002E7E63"/>
    <w:rsid w:val="002F084A"/>
    <w:rsid w:val="002F09EC"/>
    <w:rsid w:val="002F11F4"/>
    <w:rsid w:val="002F1356"/>
    <w:rsid w:val="002F141E"/>
    <w:rsid w:val="002F1930"/>
    <w:rsid w:val="002F1D59"/>
    <w:rsid w:val="002F20CA"/>
    <w:rsid w:val="002F2364"/>
    <w:rsid w:val="002F24AB"/>
    <w:rsid w:val="002F2B9E"/>
    <w:rsid w:val="002F2E83"/>
    <w:rsid w:val="002F3589"/>
    <w:rsid w:val="002F36B6"/>
    <w:rsid w:val="002F37A6"/>
    <w:rsid w:val="002F3B5F"/>
    <w:rsid w:val="002F3BA8"/>
    <w:rsid w:val="002F43B7"/>
    <w:rsid w:val="002F4587"/>
    <w:rsid w:val="002F4EFE"/>
    <w:rsid w:val="002F5006"/>
    <w:rsid w:val="002F5965"/>
    <w:rsid w:val="002F5AC0"/>
    <w:rsid w:val="002F5BF0"/>
    <w:rsid w:val="002F68CA"/>
    <w:rsid w:val="002F690B"/>
    <w:rsid w:val="002F701A"/>
    <w:rsid w:val="002F7353"/>
    <w:rsid w:val="002F76D0"/>
    <w:rsid w:val="002F7F1E"/>
    <w:rsid w:val="0030057A"/>
    <w:rsid w:val="0030064E"/>
    <w:rsid w:val="00300CAD"/>
    <w:rsid w:val="00301996"/>
    <w:rsid w:val="00301B20"/>
    <w:rsid w:val="00302409"/>
    <w:rsid w:val="00302487"/>
    <w:rsid w:val="00302E87"/>
    <w:rsid w:val="0030328B"/>
    <w:rsid w:val="00303885"/>
    <w:rsid w:val="00303ABC"/>
    <w:rsid w:val="003041CC"/>
    <w:rsid w:val="003046E6"/>
    <w:rsid w:val="00304C88"/>
    <w:rsid w:val="00305133"/>
    <w:rsid w:val="0030555C"/>
    <w:rsid w:val="003059FD"/>
    <w:rsid w:val="00305C1A"/>
    <w:rsid w:val="00305F01"/>
    <w:rsid w:val="0030641F"/>
    <w:rsid w:val="00306695"/>
    <w:rsid w:val="00307113"/>
    <w:rsid w:val="0031032E"/>
    <w:rsid w:val="0031085B"/>
    <w:rsid w:val="00310992"/>
    <w:rsid w:val="00310F6A"/>
    <w:rsid w:val="00311FDA"/>
    <w:rsid w:val="00312023"/>
    <w:rsid w:val="00312721"/>
    <w:rsid w:val="0031278E"/>
    <w:rsid w:val="00312828"/>
    <w:rsid w:val="0031287E"/>
    <w:rsid w:val="003129AF"/>
    <w:rsid w:val="00312AFD"/>
    <w:rsid w:val="003137CC"/>
    <w:rsid w:val="003139C9"/>
    <w:rsid w:val="00313F4C"/>
    <w:rsid w:val="00314341"/>
    <w:rsid w:val="003147F2"/>
    <w:rsid w:val="00314DD0"/>
    <w:rsid w:val="003153BC"/>
    <w:rsid w:val="00315454"/>
    <w:rsid w:val="00316524"/>
    <w:rsid w:val="0031658B"/>
    <w:rsid w:val="0031678F"/>
    <w:rsid w:val="003168A1"/>
    <w:rsid w:val="0031757F"/>
    <w:rsid w:val="003177FF"/>
    <w:rsid w:val="0031791E"/>
    <w:rsid w:val="00317A00"/>
    <w:rsid w:val="00317B81"/>
    <w:rsid w:val="00317EBF"/>
    <w:rsid w:val="00317F53"/>
    <w:rsid w:val="003200BE"/>
    <w:rsid w:val="003205D4"/>
    <w:rsid w:val="003208AD"/>
    <w:rsid w:val="00320931"/>
    <w:rsid w:val="00320C24"/>
    <w:rsid w:val="0032105A"/>
    <w:rsid w:val="0032111B"/>
    <w:rsid w:val="003211BA"/>
    <w:rsid w:val="003215BF"/>
    <w:rsid w:val="00321690"/>
    <w:rsid w:val="00321851"/>
    <w:rsid w:val="003222CB"/>
    <w:rsid w:val="003222DE"/>
    <w:rsid w:val="003224AD"/>
    <w:rsid w:val="00322C04"/>
    <w:rsid w:val="0032329E"/>
    <w:rsid w:val="0032378B"/>
    <w:rsid w:val="00323BD9"/>
    <w:rsid w:val="00323C7F"/>
    <w:rsid w:val="00323F90"/>
    <w:rsid w:val="003249F0"/>
    <w:rsid w:val="00324A8A"/>
    <w:rsid w:val="00324F07"/>
    <w:rsid w:val="00324F63"/>
    <w:rsid w:val="00325292"/>
    <w:rsid w:val="0032558C"/>
    <w:rsid w:val="00325998"/>
    <w:rsid w:val="00325DD6"/>
    <w:rsid w:val="00326071"/>
    <w:rsid w:val="003268FA"/>
    <w:rsid w:val="00326FC1"/>
    <w:rsid w:val="0032717B"/>
    <w:rsid w:val="003271E2"/>
    <w:rsid w:val="00327569"/>
    <w:rsid w:val="003275E6"/>
    <w:rsid w:val="00327940"/>
    <w:rsid w:val="00327FC2"/>
    <w:rsid w:val="003306A0"/>
    <w:rsid w:val="00330CB4"/>
    <w:rsid w:val="003311AD"/>
    <w:rsid w:val="0033121A"/>
    <w:rsid w:val="003313E3"/>
    <w:rsid w:val="00331421"/>
    <w:rsid w:val="003319CB"/>
    <w:rsid w:val="00332240"/>
    <w:rsid w:val="003322DD"/>
    <w:rsid w:val="003325C1"/>
    <w:rsid w:val="00332848"/>
    <w:rsid w:val="00332BFA"/>
    <w:rsid w:val="00332FB4"/>
    <w:rsid w:val="00333481"/>
    <w:rsid w:val="00333C36"/>
    <w:rsid w:val="0033439B"/>
    <w:rsid w:val="00335065"/>
    <w:rsid w:val="0033523F"/>
    <w:rsid w:val="003353AC"/>
    <w:rsid w:val="00335C67"/>
    <w:rsid w:val="00335FFD"/>
    <w:rsid w:val="00336719"/>
    <w:rsid w:val="00336EA1"/>
    <w:rsid w:val="00336F71"/>
    <w:rsid w:val="0033701A"/>
    <w:rsid w:val="00337147"/>
    <w:rsid w:val="00337339"/>
    <w:rsid w:val="00337689"/>
    <w:rsid w:val="003377EA"/>
    <w:rsid w:val="003378D5"/>
    <w:rsid w:val="00337F08"/>
    <w:rsid w:val="00340523"/>
    <w:rsid w:val="0034076B"/>
    <w:rsid w:val="00340835"/>
    <w:rsid w:val="0034096B"/>
    <w:rsid w:val="00340B9E"/>
    <w:rsid w:val="00340D8B"/>
    <w:rsid w:val="00340D99"/>
    <w:rsid w:val="00340DA0"/>
    <w:rsid w:val="003413D9"/>
    <w:rsid w:val="00341606"/>
    <w:rsid w:val="00341619"/>
    <w:rsid w:val="00342F08"/>
    <w:rsid w:val="00342FAF"/>
    <w:rsid w:val="003434A6"/>
    <w:rsid w:val="00343D5F"/>
    <w:rsid w:val="00343EEE"/>
    <w:rsid w:val="003440B3"/>
    <w:rsid w:val="003446F6"/>
    <w:rsid w:val="00344962"/>
    <w:rsid w:val="00344D17"/>
    <w:rsid w:val="00345017"/>
    <w:rsid w:val="003450C1"/>
    <w:rsid w:val="003455C7"/>
    <w:rsid w:val="003459CA"/>
    <w:rsid w:val="00345A38"/>
    <w:rsid w:val="00345B0F"/>
    <w:rsid w:val="003460CD"/>
    <w:rsid w:val="0034617F"/>
    <w:rsid w:val="003467DD"/>
    <w:rsid w:val="00346CBD"/>
    <w:rsid w:val="003475D5"/>
    <w:rsid w:val="003477EE"/>
    <w:rsid w:val="003505D8"/>
    <w:rsid w:val="00350736"/>
    <w:rsid w:val="00350B6F"/>
    <w:rsid w:val="00351659"/>
    <w:rsid w:val="0035200D"/>
    <w:rsid w:val="0035213B"/>
    <w:rsid w:val="0035242C"/>
    <w:rsid w:val="00352B05"/>
    <w:rsid w:val="00352E96"/>
    <w:rsid w:val="00353299"/>
    <w:rsid w:val="003536F0"/>
    <w:rsid w:val="00353BAD"/>
    <w:rsid w:val="003540B1"/>
    <w:rsid w:val="003543D9"/>
    <w:rsid w:val="00354472"/>
    <w:rsid w:val="00354572"/>
    <w:rsid w:val="0035482E"/>
    <w:rsid w:val="0035487A"/>
    <w:rsid w:val="0035533A"/>
    <w:rsid w:val="00355FEC"/>
    <w:rsid w:val="0035632F"/>
    <w:rsid w:val="003564BC"/>
    <w:rsid w:val="0035669F"/>
    <w:rsid w:val="003566D7"/>
    <w:rsid w:val="00356D33"/>
    <w:rsid w:val="0035752D"/>
    <w:rsid w:val="003579D0"/>
    <w:rsid w:val="00357E17"/>
    <w:rsid w:val="00357EF8"/>
    <w:rsid w:val="00360410"/>
    <w:rsid w:val="003605B6"/>
    <w:rsid w:val="003609D3"/>
    <w:rsid w:val="00360A15"/>
    <w:rsid w:val="00360D1D"/>
    <w:rsid w:val="00361531"/>
    <w:rsid w:val="0036172E"/>
    <w:rsid w:val="003617EC"/>
    <w:rsid w:val="00361C4B"/>
    <w:rsid w:val="00361EB2"/>
    <w:rsid w:val="0036227E"/>
    <w:rsid w:val="00362354"/>
    <w:rsid w:val="00362372"/>
    <w:rsid w:val="003623E7"/>
    <w:rsid w:val="003624E9"/>
    <w:rsid w:val="003625AF"/>
    <w:rsid w:val="00362948"/>
    <w:rsid w:val="00362BD8"/>
    <w:rsid w:val="00362CE1"/>
    <w:rsid w:val="00362FE9"/>
    <w:rsid w:val="003639CA"/>
    <w:rsid w:val="00363A41"/>
    <w:rsid w:val="00364512"/>
    <w:rsid w:val="00364F65"/>
    <w:rsid w:val="00364FFC"/>
    <w:rsid w:val="00364FFD"/>
    <w:rsid w:val="0036504E"/>
    <w:rsid w:val="003650CB"/>
    <w:rsid w:val="0036544D"/>
    <w:rsid w:val="003657AD"/>
    <w:rsid w:val="00365867"/>
    <w:rsid w:val="003677CB"/>
    <w:rsid w:val="00367984"/>
    <w:rsid w:val="003679CB"/>
    <w:rsid w:val="00367ECD"/>
    <w:rsid w:val="00370094"/>
    <w:rsid w:val="003704EB"/>
    <w:rsid w:val="0037075B"/>
    <w:rsid w:val="00370797"/>
    <w:rsid w:val="0037091F"/>
    <w:rsid w:val="00370C29"/>
    <w:rsid w:val="00371397"/>
    <w:rsid w:val="003715D8"/>
    <w:rsid w:val="00371818"/>
    <w:rsid w:val="00371881"/>
    <w:rsid w:val="00371907"/>
    <w:rsid w:val="003720B8"/>
    <w:rsid w:val="003723B8"/>
    <w:rsid w:val="0037306E"/>
    <w:rsid w:val="003736C8"/>
    <w:rsid w:val="0037481E"/>
    <w:rsid w:val="003748CD"/>
    <w:rsid w:val="00374A13"/>
    <w:rsid w:val="00374CA6"/>
    <w:rsid w:val="00375010"/>
    <w:rsid w:val="00375612"/>
    <w:rsid w:val="00375A35"/>
    <w:rsid w:val="00376135"/>
    <w:rsid w:val="003763A9"/>
    <w:rsid w:val="00376825"/>
    <w:rsid w:val="00376C7A"/>
    <w:rsid w:val="00377570"/>
    <w:rsid w:val="003779EC"/>
    <w:rsid w:val="003779F1"/>
    <w:rsid w:val="0038025F"/>
    <w:rsid w:val="00380A4E"/>
    <w:rsid w:val="00380A50"/>
    <w:rsid w:val="00380C5F"/>
    <w:rsid w:val="00380CF0"/>
    <w:rsid w:val="00380EA0"/>
    <w:rsid w:val="00381541"/>
    <w:rsid w:val="0038174A"/>
    <w:rsid w:val="003819FA"/>
    <w:rsid w:val="00381BA0"/>
    <w:rsid w:val="00381C2F"/>
    <w:rsid w:val="00382126"/>
    <w:rsid w:val="0038288F"/>
    <w:rsid w:val="003829C3"/>
    <w:rsid w:val="00382F2A"/>
    <w:rsid w:val="00383198"/>
    <w:rsid w:val="00383FBB"/>
    <w:rsid w:val="0038413F"/>
    <w:rsid w:val="00384891"/>
    <w:rsid w:val="003848CA"/>
    <w:rsid w:val="0038498A"/>
    <w:rsid w:val="00384BC7"/>
    <w:rsid w:val="00384D70"/>
    <w:rsid w:val="0038504B"/>
    <w:rsid w:val="003853EF"/>
    <w:rsid w:val="003854BA"/>
    <w:rsid w:val="00385E74"/>
    <w:rsid w:val="00385E96"/>
    <w:rsid w:val="0038610E"/>
    <w:rsid w:val="0038672D"/>
    <w:rsid w:val="00387350"/>
    <w:rsid w:val="0038742D"/>
    <w:rsid w:val="003879AF"/>
    <w:rsid w:val="00387CBD"/>
    <w:rsid w:val="00387DF2"/>
    <w:rsid w:val="003909CA"/>
    <w:rsid w:val="00390EC3"/>
    <w:rsid w:val="003914B4"/>
    <w:rsid w:val="00391910"/>
    <w:rsid w:val="00391A35"/>
    <w:rsid w:val="00391F78"/>
    <w:rsid w:val="0039272D"/>
    <w:rsid w:val="0039276C"/>
    <w:rsid w:val="003927AF"/>
    <w:rsid w:val="003929FF"/>
    <w:rsid w:val="00392C2A"/>
    <w:rsid w:val="00392E43"/>
    <w:rsid w:val="00392F50"/>
    <w:rsid w:val="00392FB1"/>
    <w:rsid w:val="00392FF1"/>
    <w:rsid w:val="003937DD"/>
    <w:rsid w:val="003945A2"/>
    <w:rsid w:val="00394608"/>
    <w:rsid w:val="003948B8"/>
    <w:rsid w:val="00394EA5"/>
    <w:rsid w:val="0039544C"/>
    <w:rsid w:val="00395486"/>
    <w:rsid w:val="00395523"/>
    <w:rsid w:val="0039571C"/>
    <w:rsid w:val="0039585D"/>
    <w:rsid w:val="00396346"/>
    <w:rsid w:val="00396F0F"/>
    <w:rsid w:val="003A0054"/>
    <w:rsid w:val="003A06B3"/>
    <w:rsid w:val="003A07DC"/>
    <w:rsid w:val="003A0C39"/>
    <w:rsid w:val="003A1417"/>
    <w:rsid w:val="003A2326"/>
    <w:rsid w:val="003A2757"/>
    <w:rsid w:val="003A28C8"/>
    <w:rsid w:val="003A28F9"/>
    <w:rsid w:val="003A2E84"/>
    <w:rsid w:val="003A3341"/>
    <w:rsid w:val="003A33E9"/>
    <w:rsid w:val="003A340E"/>
    <w:rsid w:val="003A35F9"/>
    <w:rsid w:val="003A3AA1"/>
    <w:rsid w:val="003A496B"/>
    <w:rsid w:val="003A4AA2"/>
    <w:rsid w:val="003A4B2F"/>
    <w:rsid w:val="003A4E5C"/>
    <w:rsid w:val="003A4E8C"/>
    <w:rsid w:val="003A5100"/>
    <w:rsid w:val="003A5879"/>
    <w:rsid w:val="003A5C89"/>
    <w:rsid w:val="003A5EE7"/>
    <w:rsid w:val="003A674A"/>
    <w:rsid w:val="003A6C30"/>
    <w:rsid w:val="003A7F42"/>
    <w:rsid w:val="003B0078"/>
    <w:rsid w:val="003B0229"/>
    <w:rsid w:val="003B0251"/>
    <w:rsid w:val="003B0460"/>
    <w:rsid w:val="003B0E70"/>
    <w:rsid w:val="003B129E"/>
    <w:rsid w:val="003B13F3"/>
    <w:rsid w:val="003B185F"/>
    <w:rsid w:val="003B2085"/>
    <w:rsid w:val="003B24C7"/>
    <w:rsid w:val="003B2CC3"/>
    <w:rsid w:val="003B340B"/>
    <w:rsid w:val="003B39FC"/>
    <w:rsid w:val="003B43A3"/>
    <w:rsid w:val="003B455A"/>
    <w:rsid w:val="003B4802"/>
    <w:rsid w:val="003B4875"/>
    <w:rsid w:val="003B48C2"/>
    <w:rsid w:val="003B4C9A"/>
    <w:rsid w:val="003B4D86"/>
    <w:rsid w:val="003B5235"/>
    <w:rsid w:val="003B54B2"/>
    <w:rsid w:val="003B7A56"/>
    <w:rsid w:val="003B7C0F"/>
    <w:rsid w:val="003B7F87"/>
    <w:rsid w:val="003C032D"/>
    <w:rsid w:val="003C10F8"/>
    <w:rsid w:val="003C1245"/>
    <w:rsid w:val="003C132C"/>
    <w:rsid w:val="003C13C4"/>
    <w:rsid w:val="003C1AA8"/>
    <w:rsid w:val="003C36FD"/>
    <w:rsid w:val="003C3B82"/>
    <w:rsid w:val="003C3F74"/>
    <w:rsid w:val="003C4036"/>
    <w:rsid w:val="003C450A"/>
    <w:rsid w:val="003C46AF"/>
    <w:rsid w:val="003C486C"/>
    <w:rsid w:val="003C49AA"/>
    <w:rsid w:val="003C4DFD"/>
    <w:rsid w:val="003C54E9"/>
    <w:rsid w:val="003C57AC"/>
    <w:rsid w:val="003C5F5D"/>
    <w:rsid w:val="003C6052"/>
    <w:rsid w:val="003C67ED"/>
    <w:rsid w:val="003C75DD"/>
    <w:rsid w:val="003D0371"/>
    <w:rsid w:val="003D0886"/>
    <w:rsid w:val="003D0982"/>
    <w:rsid w:val="003D0C82"/>
    <w:rsid w:val="003D216D"/>
    <w:rsid w:val="003D2272"/>
    <w:rsid w:val="003D2B77"/>
    <w:rsid w:val="003D2DF5"/>
    <w:rsid w:val="003D3760"/>
    <w:rsid w:val="003D3902"/>
    <w:rsid w:val="003D3AE0"/>
    <w:rsid w:val="003D453E"/>
    <w:rsid w:val="003D463D"/>
    <w:rsid w:val="003D5005"/>
    <w:rsid w:val="003D550E"/>
    <w:rsid w:val="003D656F"/>
    <w:rsid w:val="003D6756"/>
    <w:rsid w:val="003D684B"/>
    <w:rsid w:val="003D6F83"/>
    <w:rsid w:val="003D762E"/>
    <w:rsid w:val="003D7882"/>
    <w:rsid w:val="003D7CC1"/>
    <w:rsid w:val="003E05D2"/>
    <w:rsid w:val="003E0758"/>
    <w:rsid w:val="003E0CD3"/>
    <w:rsid w:val="003E0FCF"/>
    <w:rsid w:val="003E0FD4"/>
    <w:rsid w:val="003E1198"/>
    <w:rsid w:val="003E1D72"/>
    <w:rsid w:val="003E1D79"/>
    <w:rsid w:val="003E2008"/>
    <w:rsid w:val="003E2099"/>
    <w:rsid w:val="003E22EA"/>
    <w:rsid w:val="003E3036"/>
    <w:rsid w:val="003E3407"/>
    <w:rsid w:val="003E3DA8"/>
    <w:rsid w:val="003E3F5E"/>
    <w:rsid w:val="003E3F92"/>
    <w:rsid w:val="003E3FA0"/>
    <w:rsid w:val="003E4391"/>
    <w:rsid w:val="003E4BB9"/>
    <w:rsid w:val="003E4E60"/>
    <w:rsid w:val="003E53D8"/>
    <w:rsid w:val="003E59FA"/>
    <w:rsid w:val="003E5BB2"/>
    <w:rsid w:val="003E5BF7"/>
    <w:rsid w:val="003E5F2C"/>
    <w:rsid w:val="003E648B"/>
    <w:rsid w:val="003E650E"/>
    <w:rsid w:val="003E6877"/>
    <w:rsid w:val="003E70C3"/>
    <w:rsid w:val="003E726A"/>
    <w:rsid w:val="003F020B"/>
    <w:rsid w:val="003F05E3"/>
    <w:rsid w:val="003F0FB2"/>
    <w:rsid w:val="003F16D3"/>
    <w:rsid w:val="003F19AB"/>
    <w:rsid w:val="003F1ADE"/>
    <w:rsid w:val="003F2515"/>
    <w:rsid w:val="003F2CB1"/>
    <w:rsid w:val="003F3985"/>
    <w:rsid w:val="003F3C65"/>
    <w:rsid w:val="003F3E92"/>
    <w:rsid w:val="003F41D2"/>
    <w:rsid w:val="003F4944"/>
    <w:rsid w:val="003F4FC8"/>
    <w:rsid w:val="003F5000"/>
    <w:rsid w:val="003F50D5"/>
    <w:rsid w:val="003F50E1"/>
    <w:rsid w:val="003F5345"/>
    <w:rsid w:val="003F550D"/>
    <w:rsid w:val="003F55BE"/>
    <w:rsid w:val="003F5B83"/>
    <w:rsid w:val="003F688C"/>
    <w:rsid w:val="003F68FA"/>
    <w:rsid w:val="003F6C88"/>
    <w:rsid w:val="003F7C5E"/>
    <w:rsid w:val="003F7E41"/>
    <w:rsid w:val="00400278"/>
    <w:rsid w:val="004008C7"/>
    <w:rsid w:val="00401037"/>
    <w:rsid w:val="004011FC"/>
    <w:rsid w:val="00401770"/>
    <w:rsid w:val="004023F6"/>
    <w:rsid w:val="004026E4"/>
    <w:rsid w:val="00402DE4"/>
    <w:rsid w:val="0040305B"/>
    <w:rsid w:val="00403405"/>
    <w:rsid w:val="00403800"/>
    <w:rsid w:val="00403A35"/>
    <w:rsid w:val="0040404D"/>
    <w:rsid w:val="004045A0"/>
    <w:rsid w:val="00404F2B"/>
    <w:rsid w:val="00405A57"/>
    <w:rsid w:val="00405B8A"/>
    <w:rsid w:val="004061D7"/>
    <w:rsid w:val="0040631D"/>
    <w:rsid w:val="004067BB"/>
    <w:rsid w:val="004067C1"/>
    <w:rsid w:val="00406CA0"/>
    <w:rsid w:val="00406FCF"/>
    <w:rsid w:val="00407122"/>
    <w:rsid w:val="0040760C"/>
    <w:rsid w:val="0040776A"/>
    <w:rsid w:val="00407A25"/>
    <w:rsid w:val="00407AD6"/>
    <w:rsid w:val="00407E88"/>
    <w:rsid w:val="004103AB"/>
    <w:rsid w:val="00410568"/>
    <w:rsid w:val="00410932"/>
    <w:rsid w:val="004116D8"/>
    <w:rsid w:val="004116E6"/>
    <w:rsid w:val="00412492"/>
    <w:rsid w:val="004124E0"/>
    <w:rsid w:val="004124F6"/>
    <w:rsid w:val="004127F3"/>
    <w:rsid w:val="00412921"/>
    <w:rsid w:val="00412D79"/>
    <w:rsid w:val="00412FB4"/>
    <w:rsid w:val="004131CB"/>
    <w:rsid w:val="00413325"/>
    <w:rsid w:val="00413404"/>
    <w:rsid w:val="004138D5"/>
    <w:rsid w:val="00413C78"/>
    <w:rsid w:val="00413D02"/>
    <w:rsid w:val="00413D14"/>
    <w:rsid w:val="00414499"/>
    <w:rsid w:val="00414554"/>
    <w:rsid w:val="004147B3"/>
    <w:rsid w:val="00414924"/>
    <w:rsid w:val="00414D3D"/>
    <w:rsid w:val="00414EBA"/>
    <w:rsid w:val="004150D7"/>
    <w:rsid w:val="00415137"/>
    <w:rsid w:val="00415388"/>
    <w:rsid w:val="0041539F"/>
    <w:rsid w:val="00415692"/>
    <w:rsid w:val="0041585C"/>
    <w:rsid w:val="00415C54"/>
    <w:rsid w:val="00415C9D"/>
    <w:rsid w:val="00416532"/>
    <w:rsid w:val="004169D8"/>
    <w:rsid w:val="00416C34"/>
    <w:rsid w:val="004173CD"/>
    <w:rsid w:val="004177DC"/>
    <w:rsid w:val="004179D5"/>
    <w:rsid w:val="004203D1"/>
    <w:rsid w:val="00420552"/>
    <w:rsid w:val="0042094D"/>
    <w:rsid w:val="004214AD"/>
    <w:rsid w:val="00421AAA"/>
    <w:rsid w:val="00421EFD"/>
    <w:rsid w:val="00423116"/>
    <w:rsid w:val="00423DD0"/>
    <w:rsid w:val="00423E48"/>
    <w:rsid w:val="00424010"/>
    <w:rsid w:val="0042437D"/>
    <w:rsid w:val="00424B14"/>
    <w:rsid w:val="004251EF"/>
    <w:rsid w:val="00425220"/>
    <w:rsid w:val="0042530D"/>
    <w:rsid w:val="0042557F"/>
    <w:rsid w:val="00425F3D"/>
    <w:rsid w:val="00426233"/>
    <w:rsid w:val="004268DA"/>
    <w:rsid w:val="00426ECD"/>
    <w:rsid w:val="0042719E"/>
    <w:rsid w:val="004272BA"/>
    <w:rsid w:val="00427433"/>
    <w:rsid w:val="004278F5"/>
    <w:rsid w:val="0043037D"/>
    <w:rsid w:val="004303DD"/>
    <w:rsid w:val="0043121C"/>
    <w:rsid w:val="00431D5B"/>
    <w:rsid w:val="0043259D"/>
    <w:rsid w:val="004327CC"/>
    <w:rsid w:val="004327E8"/>
    <w:rsid w:val="00432C4C"/>
    <w:rsid w:val="0043471E"/>
    <w:rsid w:val="00434984"/>
    <w:rsid w:val="00434BC6"/>
    <w:rsid w:val="00434DB7"/>
    <w:rsid w:val="00435170"/>
    <w:rsid w:val="0043533A"/>
    <w:rsid w:val="00435AF2"/>
    <w:rsid w:val="00435B0B"/>
    <w:rsid w:val="004361C5"/>
    <w:rsid w:val="00436FED"/>
    <w:rsid w:val="0043709A"/>
    <w:rsid w:val="004372CC"/>
    <w:rsid w:val="00437307"/>
    <w:rsid w:val="0043737C"/>
    <w:rsid w:val="00437AC0"/>
    <w:rsid w:val="00437F20"/>
    <w:rsid w:val="0044054F"/>
    <w:rsid w:val="00440A3E"/>
    <w:rsid w:val="00440B8B"/>
    <w:rsid w:val="0044112A"/>
    <w:rsid w:val="004415D2"/>
    <w:rsid w:val="00441F42"/>
    <w:rsid w:val="0044232F"/>
    <w:rsid w:val="00442939"/>
    <w:rsid w:val="00442BF8"/>
    <w:rsid w:val="00442F9B"/>
    <w:rsid w:val="004431C2"/>
    <w:rsid w:val="0044353D"/>
    <w:rsid w:val="004436D0"/>
    <w:rsid w:val="00443AAC"/>
    <w:rsid w:val="00443B5D"/>
    <w:rsid w:val="004440B8"/>
    <w:rsid w:val="0044468C"/>
    <w:rsid w:val="004455F4"/>
    <w:rsid w:val="004461E1"/>
    <w:rsid w:val="0044636B"/>
    <w:rsid w:val="00446717"/>
    <w:rsid w:val="0044700E"/>
    <w:rsid w:val="004471F1"/>
    <w:rsid w:val="0044744A"/>
    <w:rsid w:val="00447807"/>
    <w:rsid w:val="00447BDB"/>
    <w:rsid w:val="00447E61"/>
    <w:rsid w:val="00450048"/>
    <w:rsid w:val="00450165"/>
    <w:rsid w:val="004502DA"/>
    <w:rsid w:val="004504A8"/>
    <w:rsid w:val="004506BF"/>
    <w:rsid w:val="00450862"/>
    <w:rsid w:val="00450CF4"/>
    <w:rsid w:val="00452231"/>
    <w:rsid w:val="00452328"/>
    <w:rsid w:val="0045241F"/>
    <w:rsid w:val="00452C00"/>
    <w:rsid w:val="004531EC"/>
    <w:rsid w:val="00453512"/>
    <w:rsid w:val="00453A3A"/>
    <w:rsid w:val="00453A8E"/>
    <w:rsid w:val="00454B19"/>
    <w:rsid w:val="00454DA1"/>
    <w:rsid w:val="00455F80"/>
    <w:rsid w:val="00456109"/>
    <w:rsid w:val="0045642C"/>
    <w:rsid w:val="00456548"/>
    <w:rsid w:val="0045663E"/>
    <w:rsid w:val="004566BD"/>
    <w:rsid w:val="004566C0"/>
    <w:rsid w:val="004566D8"/>
    <w:rsid w:val="00456727"/>
    <w:rsid w:val="004571A9"/>
    <w:rsid w:val="00457342"/>
    <w:rsid w:val="00457F2F"/>
    <w:rsid w:val="0046026E"/>
    <w:rsid w:val="00460620"/>
    <w:rsid w:val="00460951"/>
    <w:rsid w:val="004614BC"/>
    <w:rsid w:val="00461AD9"/>
    <w:rsid w:val="004623D1"/>
    <w:rsid w:val="00462547"/>
    <w:rsid w:val="004625AA"/>
    <w:rsid w:val="00462609"/>
    <w:rsid w:val="00462A00"/>
    <w:rsid w:val="004641B1"/>
    <w:rsid w:val="004643CE"/>
    <w:rsid w:val="00464669"/>
    <w:rsid w:val="00464B65"/>
    <w:rsid w:val="00465568"/>
    <w:rsid w:val="0046572B"/>
    <w:rsid w:val="00465920"/>
    <w:rsid w:val="004659B6"/>
    <w:rsid w:val="00465AF9"/>
    <w:rsid w:val="00465BA3"/>
    <w:rsid w:val="00465FFC"/>
    <w:rsid w:val="0046608B"/>
    <w:rsid w:val="004661AA"/>
    <w:rsid w:val="00466333"/>
    <w:rsid w:val="0046655E"/>
    <w:rsid w:val="004665FF"/>
    <w:rsid w:val="00466A4E"/>
    <w:rsid w:val="00467159"/>
    <w:rsid w:val="00467465"/>
    <w:rsid w:val="00467B9E"/>
    <w:rsid w:val="004700D2"/>
    <w:rsid w:val="004702D4"/>
    <w:rsid w:val="0047073D"/>
    <w:rsid w:val="00471643"/>
    <w:rsid w:val="004718A3"/>
    <w:rsid w:val="00472100"/>
    <w:rsid w:val="0047227E"/>
    <w:rsid w:val="0047243F"/>
    <w:rsid w:val="0047278E"/>
    <w:rsid w:val="004729C4"/>
    <w:rsid w:val="004730E7"/>
    <w:rsid w:val="004733DD"/>
    <w:rsid w:val="004734A1"/>
    <w:rsid w:val="00473712"/>
    <w:rsid w:val="00473872"/>
    <w:rsid w:val="00473F2F"/>
    <w:rsid w:val="004740A2"/>
    <w:rsid w:val="004740FC"/>
    <w:rsid w:val="004754A7"/>
    <w:rsid w:val="004758AF"/>
    <w:rsid w:val="00475E79"/>
    <w:rsid w:val="00475EDE"/>
    <w:rsid w:val="00475FE9"/>
    <w:rsid w:val="00476580"/>
    <w:rsid w:val="004766F6"/>
    <w:rsid w:val="004767DF"/>
    <w:rsid w:val="00476891"/>
    <w:rsid w:val="004768B7"/>
    <w:rsid w:val="0047693F"/>
    <w:rsid w:val="00476FE0"/>
    <w:rsid w:val="004773F8"/>
    <w:rsid w:val="00477463"/>
    <w:rsid w:val="004774C2"/>
    <w:rsid w:val="004774E4"/>
    <w:rsid w:val="0047789F"/>
    <w:rsid w:val="00477E92"/>
    <w:rsid w:val="00480DBD"/>
    <w:rsid w:val="00481702"/>
    <w:rsid w:val="00481B2F"/>
    <w:rsid w:val="00481EE1"/>
    <w:rsid w:val="004823F5"/>
    <w:rsid w:val="0048281A"/>
    <w:rsid w:val="00482C57"/>
    <w:rsid w:val="0048382C"/>
    <w:rsid w:val="00483C1C"/>
    <w:rsid w:val="00483E2C"/>
    <w:rsid w:val="004843D9"/>
    <w:rsid w:val="0048483B"/>
    <w:rsid w:val="004848B1"/>
    <w:rsid w:val="00484918"/>
    <w:rsid w:val="00484AE1"/>
    <w:rsid w:val="00484DE6"/>
    <w:rsid w:val="004851A0"/>
    <w:rsid w:val="00485439"/>
    <w:rsid w:val="00485B31"/>
    <w:rsid w:val="00485DD7"/>
    <w:rsid w:val="00485FFD"/>
    <w:rsid w:val="004865FD"/>
    <w:rsid w:val="00486DE3"/>
    <w:rsid w:val="00487226"/>
    <w:rsid w:val="00487518"/>
    <w:rsid w:val="00487699"/>
    <w:rsid w:val="0049002A"/>
    <w:rsid w:val="0049099F"/>
    <w:rsid w:val="004909E3"/>
    <w:rsid w:val="00491550"/>
    <w:rsid w:val="00491A4D"/>
    <w:rsid w:val="00491ABA"/>
    <w:rsid w:val="00491BAE"/>
    <w:rsid w:val="00491D98"/>
    <w:rsid w:val="00491E43"/>
    <w:rsid w:val="004920B8"/>
    <w:rsid w:val="00492497"/>
    <w:rsid w:val="00492E1E"/>
    <w:rsid w:val="00492EE0"/>
    <w:rsid w:val="004931F4"/>
    <w:rsid w:val="004935B5"/>
    <w:rsid w:val="004937CF"/>
    <w:rsid w:val="00493B23"/>
    <w:rsid w:val="00494389"/>
    <w:rsid w:val="00494FB9"/>
    <w:rsid w:val="00495419"/>
    <w:rsid w:val="00495537"/>
    <w:rsid w:val="0049564F"/>
    <w:rsid w:val="00495C20"/>
    <w:rsid w:val="00495D5F"/>
    <w:rsid w:val="00496EB8"/>
    <w:rsid w:val="00496EF6"/>
    <w:rsid w:val="00497901"/>
    <w:rsid w:val="004A09B4"/>
    <w:rsid w:val="004A0DC1"/>
    <w:rsid w:val="004A102F"/>
    <w:rsid w:val="004A13A2"/>
    <w:rsid w:val="004A1BC1"/>
    <w:rsid w:val="004A1DE0"/>
    <w:rsid w:val="004A2222"/>
    <w:rsid w:val="004A2698"/>
    <w:rsid w:val="004A2A0D"/>
    <w:rsid w:val="004A2C1C"/>
    <w:rsid w:val="004A323D"/>
    <w:rsid w:val="004A3371"/>
    <w:rsid w:val="004A39D4"/>
    <w:rsid w:val="004A3A66"/>
    <w:rsid w:val="004A3BA5"/>
    <w:rsid w:val="004A4731"/>
    <w:rsid w:val="004A4757"/>
    <w:rsid w:val="004A4D84"/>
    <w:rsid w:val="004A50D9"/>
    <w:rsid w:val="004A53D3"/>
    <w:rsid w:val="004A5718"/>
    <w:rsid w:val="004A5CE2"/>
    <w:rsid w:val="004A605D"/>
    <w:rsid w:val="004A60D9"/>
    <w:rsid w:val="004A62ED"/>
    <w:rsid w:val="004A653B"/>
    <w:rsid w:val="004A688F"/>
    <w:rsid w:val="004A69FE"/>
    <w:rsid w:val="004A6CA2"/>
    <w:rsid w:val="004A6E0C"/>
    <w:rsid w:val="004A6E42"/>
    <w:rsid w:val="004A7082"/>
    <w:rsid w:val="004A7150"/>
    <w:rsid w:val="004A72B8"/>
    <w:rsid w:val="004A752C"/>
    <w:rsid w:val="004A7581"/>
    <w:rsid w:val="004A7BFE"/>
    <w:rsid w:val="004A7D7B"/>
    <w:rsid w:val="004A7FC5"/>
    <w:rsid w:val="004B00E3"/>
    <w:rsid w:val="004B01AB"/>
    <w:rsid w:val="004B0693"/>
    <w:rsid w:val="004B0CB1"/>
    <w:rsid w:val="004B0E54"/>
    <w:rsid w:val="004B18F5"/>
    <w:rsid w:val="004B1A20"/>
    <w:rsid w:val="004B1C03"/>
    <w:rsid w:val="004B2D06"/>
    <w:rsid w:val="004B3048"/>
    <w:rsid w:val="004B3240"/>
    <w:rsid w:val="004B3729"/>
    <w:rsid w:val="004B43DD"/>
    <w:rsid w:val="004B4A39"/>
    <w:rsid w:val="004B4D58"/>
    <w:rsid w:val="004B539F"/>
    <w:rsid w:val="004B53E5"/>
    <w:rsid w:val="004B56A4"/>
    <w:rsid w:val="004B5AC7"/>
    <w:rsid w:val="004B5F1C"/>
    <w:rsid w:val="004B60F0"/>
    <w:rsid w:val="004B6172"/>
    <w:rsid w:val="004B6499"/>
    <w:rsid w:val="004B65D9"/>
    <w:rsid w:val="004B672F"/>
    <w:rsid w:val="004B6948"/>
    <w:rsid w:val="004B6F46"/>
    <w:rsid w:val="004B75F9"/>
    <w:rsid w:val="004B78A7"/>
    <w:rsid w:val="004B78B3"/>
    <w:rsid w:val="004B7C84"/>
    <w:rsid w:val="004C0455"/>
    <w:rsid w:val="004C0C39"/>
    <w:rsid w:val="004C1AE0"/>
    <w:rsid w:val="004C203D"/>
    <w:rsid w:val="004C230C"/>
    <w:rsid w:val="004C242A"/>
    <w:rsid w:val="004C259E"/>
    <w:rsid w:val="004C2806"/>
    <w:rsid w:val="004C2978"/>
    <w:rsid w:val="004C2FB6"/>
    <w:rsid w:val="004C2FED"/>
    <w:rsid w:val="004C3234"/>
    <w:rsid w:val="004C32EF"/>
    <w:rsid w:val="004C3C27"/>
    <w:rsid w:val="004C3DBA"/>
    <w:rsid w:val="004C3F2E"/>
    <w:rsid w:val="004C3FB8"/>
    <w:rsid w:val="004C42C4"/>
    <w:rsid w:val="004C4A8C"/>
    <w:rsid w:val="004C5122"/>
    <w:rsid w:val="004C51C6"/>
    <w:rsid w:val="004C5443"/>
    <w:rsid w:val="004C55C5"/>
    <w:rsid w:val="004C5D46"/>
    <w:rsid w:val="004C5DAD"/>
    <w:rsid w:val="004C5F44"/>
    <w:rsid w:val="004C602E"/>
    <w:rsid w:val="004C6118"/>
    <w:rsid w:val="004C6880"/>
    <w:rsid w:val="004C6905"/>
    <w:rsid w:val="004C6A8B"/>
    <w:rsid w:val="004C6E2F"/>
    <w:rsid w:val="004C7283"/>
    <w:rsid w:val="004C7970"/>
    <w:rsid w:val="004C7B8B"/>
    <w:rsid w:val="004C7D9E"/>
    <w:rsid w:val="004D0FDA"/>
    <w:rsid w:val="004D1389"/>
    <w:rsid w:val="004D1EB0"/>
    <w:rsid w:val="004D218C"/>
    <w:rsid w:val="004D229E"/>
    <w:rsid w:val="004D23CE"/>
    <w:rsid w:val="004D23EE"/>
    <w:rsid w:val="004D25F5"/>
    <w:rsid w:val="004D284B"/>
    <w:rsid w:val="004D2E36"/>
    <w:rsid w:val="004D2EAB"/>
    <w:rsid w:val="004D2ED0"/>
    <w:rsid w:val="004D33AA"/>
    <w:rsid w:val="004D393F"/>
    <w:rsid w:val="004D3C65"/>
    <w:rsid w:val="004D433B"/>
    <w:rsid w:val="004D460E"/>
    <w:rsid w:val="004D4AE5"/>
    <w:rsid w:val="004D4B7B"/>
    <w:rsid w:val="004D5011"/>
    <w:rsid w:val="004D5332"/>
    <w:rsid w:val="004D57AD"/>
    <w:rsid w:val="004D6058"/>
    <w:rsid w:val="004D60A9"/>
    <w:rsid w:val="004D60DC"/>
    <w:rsid w:val="004D6112"/>
    <w:rsid w:val="004D634A"/>
    <w:rsid w:val="004D640A"/>
    <w:rsid w:val="004D6534"/>
    <w:rsid w:val="004D67A1"/>
    <w:rsid w:val="004D6911"/>
    <w:rsid w:val="004D6CD3"/>
    <w:rsid w:val="004D6D38"/>
    <w:rsid w:val="004D6EE3"/>
    <w:rsid w:val="004D6EE4"/>
    <w:rsid w:val="004D7151"/>
    <w:rsid w:val="004D7340"/>
    <w:rsid w:val="004E0494"/>
    <w:rsid w:val="004E12D3"/>
    <w:rsid w:val="004E135B"/>
    <w:rsid w:val="004E1A49"/>
    <w:rsid w:val="004E1B8F"/>
    <w:rsid w:val="004E1EF6"/>
    <w:rsid w:val="004E2347"/>
    <w:rsid w:val="004E255C"/>
    <w:rsid w:val="004E2984"/>
    <w:rsid w:val="004E2A35"/>
    <w:rsid w:val="004E2ADC"/>
    <w:rsid w:val="004E33AA"/>
    <w:rsid w:val="004E363F"/>
    <w:rsid w:val="004E3709"/>
    <w:rsid w:val="004E37FB"/>
    <w:rsid w:val="004E3C2D"/>
    <w:rsid w:val="004E4649"/>
    <w:rsid w:val="004E5344"/>
    <w:rsid w:val="004E574D"/>
    <w:rsid w:val="004E57AA"/>
    <w:rsid w:val="004E5AF1"/>
    <w:rsid w:val="004E5B8B"/>
    <w:rsid w:val="004E5C12"/>
    <w:rsid w:val="004E63D7"/>
    <w:rsid w:val="004E6444"/>
    <w:rsid w:val="004E653B"/>
    <w:rsid w:val="004E71BE"/>
    <w:rsid w:val="004E7382"/>
    <w:rsid w:val="004E77C5"/>
    <w:rsid w:val="004F01CC"/>
    <w:rsid w:val="004F0A0B"/>
    <w:rsid w:val="004F0D47"/>
    <w:rsid w:val="004F0FD1"/>
    <w:rsid w:val="004F11A7"/>
    <w:rsid w:val="004F1639"/>
    <w:rsid w:val="004F1B14"/>
    <w:rsid w:val="004F1B24"/>
    <w:rsid w:val="004F1D73"/>
    <w:rsid w:val="004F21B6"/>
    <w:rsid w:val="004F27D6"/>
    <w:rsid w:val="004F2E8A"/>
    <w:rsid w:val="004F33F5"/>
    <w:rsid w:val="004F33FF"/>
    <w:rsid w:val="004F3660"/>
    <w:rsid w:val="004F38D7"/>
    <w:rsid w:val="004F438D"/>
    <w:rsid w:val="004F43D0"/>
    <w:rsid w:val="004F43FF"/>
    <w:rsid w:val="004F4892"/>
    <w:rsid w:val="004F4F61"/>
    <w:rsid w:val="004F57E5"/>
    <w:rsid w:val="004F5948"/>
    <w:rsid w:val="004F5A63"/>
    <w:rsid w:val="004F5B55"/>
    <w:rsid w:val="004F5EE1"/>
    <w:rsid w:val="004F5FC8"/>
    <w:rsid w:val="004F629F"/>
    <w:rsid w:val="004F6427"/>
    <w:rsid w:val="004F679A"/>
    <w:rsid w:val="004F69B3"/>
    <w:rsid w:val="004F71E3"/>
    <w:rsid w:val="004F7488"/>
    <w:rsid w:val="004F791A"/>
    <w:rsid w:val="004F7FE0"/>
    <w:rsid w:val="0050008D"/>
    <w:rsid w:val="00500DB1"/>
    <w:rsid w:val="00501340"/>
    <w:rsid w:val="00501476"/>
    <w:rsid w:val="005014D6"/>
    <w:rsid w:val="0050178C"/>
    <w:rsid w:val="0050189C"/>
    <w:rsid w:val="00501EF7"/>
    <w:rsid w:val="00502B1A"/>
    <w:rsid w:val="00503107"/>
    <w:rsid w:val="00503153"/>
    <w:rsid w:val="00503801"/>
    <w:rsid w:val="00503DA0"/>
    <w:rsid w:val="00504681"/>
    <w:rsid w:val="00504759"/>
    <w:rsid w:val="00505940"/>
    <w:rsid w:val="00505AEE"/>
    <w:rsid w:val="00506BAF"/>
    <w:rsid w:val="00506EA6"/>
    <w:rsid w:val="0050744A"/>
    <w:rsid w:val="00507593"/>
    <w:rsid w:val="005079B8"/>
    <w:rsid w:val="00507D77"/>
    <w:rsid w:val="00510024"/>
    <w:rsid w:val="0051006C"/>
    <w:rsid w:val="0051019C"/>
    <w:rsid w:val="005101D4"/>
    <w:rsid w:val="005102EE"/>
    <w:rsid w:val="0051034F"/>
    <w:rsid w:val="00510825"/>
    <w:rsid w:val="005110CB"/>
    <w:rsid w:val="00511208"/>
    <w:rsid w:val="00511216"/>
    <w:rsid w:val="00511590"/>
    <w:rsid w:val="005117A3"/>
    <w:rsid w:val="00511AFD"/>
    <w:rsid w:val="00511F51"/>
    <w:rsid w:val="00512080"/>
    <w:rsid w:val="005122FA"/>
    <w:rsid w:val="005126D0"/>
    <w:rsid w:val="00512F76"/>
    <w:rsid w:val="00513112"/>
    <w:rsid w:val="00513731"/>
    <w:rsid w:val="00513EC2"/>
    <w:rsid w:val="00513F19"/>
    <w:rsid w:val="00514686"/>
    <w:rsid w:val="00515A93"/>
    <w:rsid w:val="0051639C"/>
    <w:rsid w:val="005166C6"/>
    <w:rsid w:val="005169D6"/>
    <w:rsid w:val="00517531"/>
    <w:rsid w:val="0052044C"/>
    <w:rsid w:val="0052118E"/>
    <w:rsid w:val="00521431"/>
    <w:rsid w:val="005215B8"/>
    <w:rsid w:val="005215CF"/>
    <w:rsid w:val="00521D04"/>
    <w:rsid w:val="00521D7B"/>
    <w:rsid w:val="005221D6"/>
    <w:rsid w:val="005224E6"/>
    <w:rsid w:val="00522B5F"/>
    <w:rsid w:val="00522DF7"/>
    <w:rsid w:val="00523533"/>
    <w:rsid w:val="0052358F"/>
    <w:rsid w:val="005238FE"/>
    <w:rsid w:val="00523B27"/>
    <w:rsid w:val="00523EF6"/>
    <w:rsid w:val="00523FE9"/>
    <w:rsid w:val="005245D0"/>
    <w:rsid w:val="00526016"/>
    <w:rsid w:val="005267A7"/>
    <w:rsid w:val="00527348"/>
    <w:rsid w:val="00527427"/>
    <w:rsid w:val="00527764"/>
    <w:rsid w:val="0052794E"/>
    <w:rsid w:val="0053080C"/>
    <w:rsid w:val="005308D7"/>
    <w:rsid w:val="00530A39"/>
    <w:rsid w:val="00530A67"/>
    <w:rsid w:val="00530EF2"/>
    <w:rsid w:val="00530FE6"/>
    <w:rsid w:val="005314C2"/>
    <w:rsid w:val="005316C3"/>
    <w:rsid w:val="00531DD3"/>
    <w:rsid w:val="00532509"/>
    <w:rsid w:val="00532715"/>
    <w:rsid w:val="00532A24"/>
    <w:rsid w:val="00532C59"/>
    <w:rsid w:val="00532D7F"/>
    <w:rsid w:val="005333E9"/>
    <w:rsid w:val="00533D1A"/>
    <w:rsid w:val="00533ED1"/>
    <w:rsid w:val="00534644"/>
    <w:rsid w:val="00534A66"/>
    <w:rsid w:val="00535555"/>
    <w:rsid w:val="00535747"/>
    <w:rsid w:val="00535AEA"/>
    <w:rsid w:val="0053639E"/>
    <w:rsid w:val="00536995"/>
    <w:rsid w:val="00536DA4"/>
    <w:rsid w:val="00537A5A"/>
    <w:rsid w:val="00537AF6"/>
    <w:rsid w:val="00537F52"/>
    <w:rsid w:val="0054036F"/>
    <w:rsid w:val="005407C2"/>
    <w:rsid w:val="005409E3"/>
    <w:rsid w:val="005410B9"/>
    <w:rsid w:val="00541135"/>
    <w:rsid w:val="00541356"/>
    <w:rsid w:val="0054158F"/>
    <w:rsid w:val="00541E64"/>
    <w:rsid w:val="00541F37"/>
    <w:rsid w:val="005423AE"/>
    <w:rsid w:val="00542495"/>
    <w:rsid w:val="00542527"/>
    <w:rsid w:val="00542545"/>
    <w:rsid w:val="00542694"/>
    <w:rsid w:val="00542B46"/>
    <w:rsid w:val="00542DEB"/>
    <w:rsid w:val="0054332D"/>
    <w:rsid w:val="00543647"/>
    <w:rsid w:val="00543778"/>
    <w:rsid w:val="00543893"/>
    <w:rsid w:val="005448CA"/>
    <w:rsid w:val="00544905"/>
    <w:rsid w:val="00544A83"/>
    <w:rsid w:val="00544B5A"/>
    <w:rsid w:val="00544F9D"/>
    <w:rsid w:val="00545BF5"/>
    <w:rsid w:val="00546615"/>
    <w:rsid w:val="00546C71"/>
    <w:rsid w:val="00546F18"/>
    <w:rsid w:val="00547545"/>
    <w:rsid w:val="00547565"/>
    <w:rsid w:val="005478E3"/>
    <w:rsid w:val="00550265"/>
    <w:rsid w:val="005507BA"/>
    <w:rsid w:val="00550817"/>
    <w:rsid w:val="005509A6"/>
    <w:rsid w:val="0055100D"/>
    <w:rsid w:val="00551083"/>
    <w:rsid w:val="005514CE"/>
    <w:rsid w:val="00551A7A"/>
    <w:rsid w:val="00551BEA"/>
    <w:rsid w:val="00551CFA"/>
    <w:rsid w:val="00551D68"/>
    <w:rsid w:val="0055217A"/>
    <w:rsid w:val="00552406"/>
    <w:rsid w:val="0055277A"/>
    <w:rsid w:val="00553019"/>
    <w:rsid w:val="0055310B"/>
    <w:rsid w:val="00553487"/>
    <w:rsid w:val="0055420F"/>
    <w:rsid w:val="00554F03"/>
    <w:rsid w:val="0055538A"/>
    <w:rsid w:val="00555CBE"/>
    <w:rsid w:val="00556053"/>
    <w:rsid w:val="00556486"/>
    <w:rsid w:val="0055650F"/>
    <w:rsid w:val="00556954"/>
    <w:rsid w:val="00556B65"/>
    <w:rsid w:val="005571BE"/>
    <w:rsid w:val="00557223"/>
    <w:rsid w:val="00557351"/>
    <w:rsid w:val="005575AA"/>
    <w:rsid w:val="00557F3C"/>
    <w:rsid w:val="00557FB1"/>
    <w:rsid w:val="0056002B"/>
    <w:rsid w:val="005602E9"/>
    <w:rsid w:val="0056040F"/>
    <w:rsid w:val="0056069B"/>
    <w:rsid w:val="00560BF3"/>
    <w:rsid w:val="00560F4D"/>
    <w:rsid w:val="005611E3"/>
    <w:rsid w:val="00561442"/>
    <w:rsid w:val="005614F4"/>
    <w:rsid w:val="005615BA"/>
    <w:rsid w:val="00561B32"/>
    <w:rsid w:val="00563148"/>
    <w:rsid w:val="00563D81"/>
    <w:rsid w:val="0056422C"/>
    <w:rsid w:val="00564EC5"/>
    <w:rsid w:val="00565254"/>
    <w:rsid w:val="00565957"/>
    <w:rsid w:val="00565B04"/>
    <w:rsid w:val="00566551"/>
    <w:rsid w:val="005665DC"/>
    <w:rsid w:val="005667EA"/>
    <w:rsid w:val="00567305"/>
    <w:rsid w:val="005678EF"/>
    <w:rsid w:val="00570B89"/>
    <w:rsid w:val="00570C58"/>
    <w:rsid w:val="00570EDC"/>
    <w:rsid w:val="005711CA"/>
    <w:rsid w:val="00571285"/>
    <w:rsid w:val="00571502"/>
    <w:rsid w:val="00571EC6"/>
    <w:rsid w:val="005724F6"/>
    <w:rsid w:val="00572B0F"/>
    <w:rsid w:val="00573242"/>
    <w:rsid w:val="005736E1"/>
    <w:rsid w:val="00573721"/>
    <w:rsid w:val="00574F5F"/>
    <w:rsid w:val="0057569C"/>
    <w:rsid w:val="005759A5"/>
    <w:rsid w:val="00576615"/>
    <w:rsid w:val="00576962"/>
    <w:rsid w:val="00576B96"/>
    <w:rsid w:val="00576C0F"/>
    <w:rsid w:val="0057751E"/>
    <w:rsid w:val="00577AF7"/>
    <w:rsid w:val="00577BEB"/>
    <w:rsid w:val="00577D9F"/>
    <w:rsid w:val="005809F8"/>
    <w:rsid w:val="00580B48"/>
    <w:rsid w:val="00580F1C"/>
    <w:rsid w:val="00581B80"/>
    <w:rsid w:val="00581F42"/>
    <w:rsid w:val="005820F8"/>
    <w:rsid w:val="00582227"/>
    <w:rsid w:val="005829BC"/>
    <w:rsid w:val="00582BAE"/>
    <w:rsid w:val="00582C56"/>
    <w:rsid w:val="00583063"/>
    <w:rsid w:val="0058362C"/>
    <w:rsid w:val="00583876"/>
    <w:rsid w:val="00583BAA"/>
    <w:rsid w:val="005840DB"/>
    <w:rsid w:val="00584EA6"/>
    <w:rsid w:val="0058553A"/>
    <w:rsid w:val="00585C37"/>
    <w:rsid w:val="00586210"/>
    <w:rsid w:val="005862E8"/>
    <w:rsid w:val="005868D7"/>
    <w:rsid w:val="00586A92"/>
    <w:rsid w:val="00586AF3"/>
    <w:rsid w:val="00586E76"/>
    <w:rsid w:val="00586FB3"/>
    <w:rsid w:val="005871F2"/>
    <w:rsid w:val="00587C2A"/>
    <w:rsid w:val="00587C8F"/>
    <w:rsid w:val="00590F58"/>
    <w:rsid w:val="00590F85"/>
    <w:rsid w:val="005910C8"/>
    <w:rsid w:val="005912D2"/>
    <w:rsid w:val="005914A6"/>
    <w:rsid w:val="00591668"/>
    <w:rsid w:val="00591669"/>
    <w:rsid w:val="005916E3"/>
    <w:rsid w:val="005922EC"/>
    <w:rsid w:val="005926ED"/>
    <w:rsid w:val="005928F4"/>
    <w:rsid w:val="00592B82"/>
    <w:rsid w:val="00593228"/>
    <w:rsid w:val="00593538"/>
    <w:rsid w:val="005940E2"/>
    <w:rsid w:val="005944ED"/>
    <w:rsid w:val="005945AD"/>
    <w:rsid w:val="005946F1"/>
    <w:rsid w:val="00595044"/>
    <w:rsid w:val="005950A0"/>
    <w:rsid w:val="00595557"/>
    <w:rsid w:val="00595E53"/>
    <w:rsid w:val="0059610B"/>
    <w:rsid w:val="0059643A"/>
    <w:rsid w:val="00596677"/>
    <w:rsid w:val="00596F06"/>
    <w:rsid w:val="00597291"/>
    <w:rsid w:val="00597297"/>
    <w:rsid w:val="00597437"/>
    <w:rsid w:val="005979C0"/>
    <w:rsid w:val="00597D00"/>
    <w:rsid w:val="005A00FF"/>
    <w:rsid w:val="005A0457"/>
    <w:rsid w:val="005A0B27"/>
    <w:rsid w:val="005A0EB5"/>
    <w:rsid w:val="005A17C6"/>
    <w:rsid w:val="005A182A"/>
    <w:rsid w:val="005A1BA5"/>
    <w:rsid w:val="005A1C28"/>
    <w:rsid w:val="005A1CAA"/>
    <w:rsid w:val="005A28ED"/>
    <w:rsid w:val="005A2950"/>
    <w:rsid w:val="005A2AFE"/>
    <w:rsid w:val="005A2EE5"/>
    <w:rsid w:val="005A2FFF"/>
    <w:rsid w:val="005A3D0C"/>
    <w:rsid w:val="005A3E97"/>
    <w:rsid w:val="005A3F6F"/>
    <w:rsid w:val="005A4215"/>
    <w:rsid w:val="005A4C09"/>
    <w:rsid w:val="005A4F67"/>
    <w:rsid w:val="005A55A4"/>
    <w:rsid w:val="005A5E35"/>
    <w:rsid w:val="005A5ED9"/>
    <w:rsid w:val="005A5F97"/>
    <w:rsid w:val="005A61ED"/>
    <w:rsid w:val="005A6434"/>
    <w:rsid w:val="005A6818"/>
    <w:rsid w:val="005A71E2"/>
    <w:rsid w:val="005A727B"/>
    <w:rsid w:val="005B049B"/>
    <w:rsid w:val="005B18FA"/>
    <w:rsid w:val="005B1AA0"/>
    <w:rsid w:val="005B200E"/>
    <w:rsid w:val="005B2630"/>
    <w:rsid w:val="005B290F"/>
    <w:rsid w:val="005B2BD5"/>
    <w:rsid w:val="005B2E17"/>
    <w:rsid w:val="005B358A"/>
    <w:rsid w:val="005B37FB"/>
    <w:rsid w:val="005B40DA"/>
    <w:rsid w:val="005B50CC"/>
    <w:rsid w:val="005B525F"/>
    <w:rsid w:val="005B5723"/>
    <w:rsid w:val="005B5882"/>
    <w:rsid w:val="005B600A"/>
    <w:rsid w:val="005B61F0"/>
    <w:rsid w:val="005B6376"/>
    <w:rsid w:val="005B6910"/>
    <w:rsid w:val="005B71DD"/>
    <w:rsid w:val="005B7277"/>
    <w:rsid w:val="005B76A5"/>
    <w:rsid w:val="005B7886"/>
    <w:rsid w:val="005B7FFE"/>
    <w:rsid w:val="005C0364"/>
    <w:rsid w:val="005C0BA3"/>
    <w:rsid w:val="005C17DB"/>
    <w:rsid w:val="005C1907"/>
    <w:rsid w:val="005C1E8F"/>
    <w:rsid w:val="005C217C"/>
    <w:rsid w:val="005C2501"/>
    <w:rsid w:val="005C2729"/>
    <w:rsid w:val="005C3588"/>
    <w:rsid w:val="005C35CC"/>
    <w:rsid w:val="005C36C0"/>
    <w:rsid w:val="005C3A04"/>
    <w:rsid w:val="005C3EDC"/>
    <w:rsid w:val="005C506F"/>
    <w:rsid w:val="005C50B1"/>
    <w:rsid w:val="005C5D58"/>
    <w:rsid w:val="005C5F8F"/>
    <w:rsid w:val="005C6D74"/>
    <w:rsid w:val="005C7080"/>
    <w:rsid w:val="005C7104"/>
    <w:rsid w:val="005C71EC"/>
    <w:rsid w:val="005C7A44"/>
    <w:rsid w:val="005C7F8D"/>
    <w:rsid w:val="005D0296"/>
    <w:rsid w:val="005D088D"/>
    <w:rsid w:val="005D0B91"/>
    <w:rsid w:val="005D1585"/>
    <w:rsid w:val="005D1640"/>
    <w:rsid w:val="005D1793"/>
    <w:rsid w:val="005D1AFF"/>
    <w:rsid w:val="005D256F"/>
    <w:rsid w:val="005D29E1"/>
    <w:rsid w:val="005D2E2E"/>
    <w:rsid w:val="005D320A"/>
    <w:rsid w:val="005D32B4"/>
    <w:rsid w:val="005D3C2C"/>
    <w:rsid w:val="005D3C89"/>
    <w:rsid w:val="005D3F24"/>
    <w:rsid w:val="005D48A4"/>
    <w:rsid w:val="005D4AF7"/>
    <w:rsid w:val="005D4E22"/>
    <w:rsid w:val="005D50FE"/>
    <w:rsid w:val="005D51AD"/>
    <w:rsid w:val="005D59F2"/>
    <w:rsid w:val="005D5B7E"/>
    <w:rsid w:val="005D5DC1"/>
    <w:rsid w:val="005D6096"/>
    <w:rsid w:val="005D6494"/>
    <w:rsid w:val="005D6690"/>
    <w:rsid w:val="005D6B1B"/>
    <w:rsid w:val="005D709A"/>
    <w:rsid w:val="005D7120"/>
    <w:rsid w:val="005E0577"/>
    <w:rsid w:val="005E0955"/>
    <w:rsid w:val="005E0C52"/>
    <w:rsid w:val="005E0C66"/>
    <w:rsid w:val="005E0CCE"/>
    <w:rsid w:val="005E0EDB"/>
    <w:rsid w:val="005E15FA"/>
    <w:rsid w:val="005E17E5"/>
    <w:rsid w:val="005E1B92"/>
    <w:rsid w:val="005E2622"/>
    <w:rsid w:val="005E2FA0"/>
    <w:rsid w:val="005E348B"/>
    <w:rsid w:val="005E3DF4"/>
    <w:rsid w:val="005E4104"/>
    <w:rsid w:val="005E45BB"/>
    <w:rsid w:val="005E50AA"/>
    <w:rsid w:val="005E5CC4"/>
    <w:rsid w:val="005E5DB3"/>
    <w:rsid w:val="005E5F70"/>
    <w:rsid w:val="005E62E8"/>
    <w:rsid w:val="005E654B"/>
    <w:rsid w:val="005E65C3"/>
    <w:rsid w:val="005E6F1E"/>
    <w:rsid w:val="005E71F7"/>
    <w:rsid w:val="005E7896"/>
    <w:rsid w:val="005E7BE2"/>
    <w:rsid w:val="005E7EEE"/>
    <w:rsid w:val="005F2229"/>
    <w:rsid w:val="005F23C4"/>
    <w:rsid w:val="005F29F7"/>
    <w:rsid w:val="005F3150"/>
    <w:rsid w:val="005F3F55"/>
    <w:rsid w:val="005F4707"/>
    <w:rsid w:val="005F4D8F"/>
    <w:rsid w:val="005F596B"/>
    <w:rsid w:val="005F5AC7"/>
    <w:rsid w:val="005F5F3C"/>
    <w:rsid w:val="005F602C"/>
    <w:rsid w:val="005F60C8"/>
    <w:rsid w:val="005F62C0"/>
    <w:rsid w:val="005F6CBF"/>
    <w:rsid w:val="005F7381"/>
    <w:rsid w:val="006005C6"/>
    <w:rsid w:val="00600EC6"/>
    <w:rsid w:val="00601092"/>
    <w:rsid w:val="0060137E"/>
    <w:rsid w:val="0060193B"/>
    <w:rsid w:val="006019B1"/>
    <w:rsid w:val="00601A41"/>
    <w:rsid w:val="00601B5F"/>
    <w:rsid w:val="00601EC6"/>
    <w:rsid w:val="00602354"/>
    <w:rsid w:val="006023F9"/>
    <w:rsid w:val="006037DF"/>
    <w:rsid w:val="00603C58"/>
    <w:rsid w:val="00603E57"/>
    <w:rsid w:val="00604081"/>
    <w:rsid w:val="00604368"/>
    <w:rsid w:val="0060436F"/>
    <w:rsid w:val="00604A77"/>
    <w:rsid w:val="00604B61"/>
    <w:rsid w:val="006059C0"/>
    <w:rsid w:val="00606B48"/>
    <w:rsid w:val="00606DBB"/>
    <w:rsid w:val="00607026"/>
    <w:rsid w:val="006079DF"/>
    <w:rsid w:val="00607B0B"/>
    <w:rsid w:val="00607C62"/>
    <w:rsid w:val="0061053C"/>
    <w:rsid w:val="006108D8"/>
    <w:rsid w:val="00610BF7"/>
    <w:rsid w:val="00610EFE"/>
    <w:rsid w:val="00611005"/>
    <w:rsid w:val="00611BBB"/>
    <w:rsid w:val="006129EB"/>
    <w:rsid w:val="00612A99"/>
    <w:rsid w:val="00612C8C"/>
    <w:rsid w:val="0061313C"/>
    <w:rsid w:val="00613DF6"/>
    <w:rsid w:val="00613F83"/>
    <w:rsid w:val="0061439D"/>
    <w:rsid w:val="006143ED"/>
    <w:rsid w:val="0061576E"/>
    <w:rsid w:val="0061594A"/>
    <w:rsid w:val="00615F5A"/>
    <w:rsid w:val="00616137"/>
    <w:rsid w:val="00616363"/>
    <w:rsid w:val="00616B10"/>
    <w:rsid w:val="00616D8A"/>
    <w:rsid w:val="00616E8C"/>
    <w:rsid w:val="00616F61"/>
    <w:rsid w:val="00616FB9"/>
    <w:rsid w:val="006172B5"/>
    <w:rsid w:val="0061732C"/>
    <w:rsid w:val="00617528"/>
    <w:rsid w:val="00617848"/>
    <w:rsid w:val="00617A54"/>
    <w:rsid w:val="00617E84"/>
    <w:rsid w:val="00620005"/>
    <w:rsid w:val="006200AB"/>
    <w:rsid w:val="006205ED"/>
    <w:rsid w:val="00620642"/>
    <w:rsid w:val="006208FB"/>
    <w:rsid w:val="00621437"/>
    <w:rsid w:val="00621854"/>
    <w:rsid w:val="00622144"/>
    <w:rsid w:val="006222CD"/>
    <w:rsid w:val="00622501"/>
    <w:rsid w:val="00622BB5"/>
    <w:rsid w:val="00622DCC"/>
    <w:rsid w:val="00623101"/>
    <w:rsid w:val="006234F9"/>
    <w:rsid w:val="0062370E"/>
    <w:rsid w:val="00623BCC"/>
    <w:rsid w:val="00623D97"/>
    <w:rsid w:val="00624533"/>
    <w:rsid w:val="006246EC"/>
    <w:rsid w:val="006247D7"/>
    <w:rsid w:val="00624BC9"/>
    <w:rsid w:val="006259DD"/>
    <w:rsid w:val="006259E1"/>
    <w:rsid w:val="00625B74"/>
    <w:rsid w:val="00625E4D"/>
    <w:rsid w:val="00626259"/>
    <w:rsid w:val="006265BE"/>
    <w:rsid w:val="006269A5"/>
    <w:rsid w:val="00626AD0"/>
    <w:rsid w:val="00626B59"/>
    <w:rsid w:val="00627036"/>
    <w:rsid w:val="00627383"/>
    <w:rsid w:val="006275C2"/>
    <w:rsid w:val="00627A18"/>
    <w:rsid w:val="006303BE"/>
    <w:rsid w:val="006312E2"/>
    <w:rsid w:val="006313A0"/>
    <w:rsid w:val="006315B7"/>
    <w:rsid w:val="006319C1"/>
    <w:rsid w:val="00631B69"/>
    <w:rsid w:val="00631D60"/>
    <w:rsid w:val="00632098"/>
    <w:rsid w:val="006322BD"/>
    <w:rsid w:val="00632913"/>
    <w:rsid w:val="00632AA0"/>
    <w:rsid w:val="00632D89"/>
    <w:rsid w:val="00633481"/>
    <w:rsid w:val="006338F3"/>
    <w:rsid w:val="00633BEC"/>
    <w:rsid w:val="00634132"/>
    <w:rsid w:val="006342E0"/>
    <w:rsid w:val="00634A86"/>
    <w:rsid w:val="00634A97"/>
    <w:rsid w:val="00634E39"/>
    <w:rsid w:val="0063523E"/>
    <w:rsid w:val="00635FDF"/>
    <w:rsid w:val="006364D5"/>
    <w:rsid w:val="00636B76"/>
    <w:rsid w:val="0063709E"/>
    <w:rsid w:val="006370D8"/>
    <w:rsid w:val="0064035E"/>
    <w:rsid w:val="006403D5"/>
    <w:rsid w:val="0064044E"/>
    <w:rsid w:val="006415DB"/>
    <w:rsid w:val="006421C8"/>
    <w:rsid w:val="0064227D"/>
    <w:rsid w:val="006427A5"/>
    <w:rsid w:val="00642BB0"/>
    <w:rsid w:val="00642C2D"/>
    <w:rsid w:val="00642D9D"/>
    <w:rsid w:val="00643E97"/>
    <w:rsid w:val="00644778"/>
    <w:rsid w:val="006448FC"/>
    <w:rsid w:val="00644FEF"/>
    <w:rsid w:val="00645B9C"/>
    <w:rsid w:val="00645C56"/>
    <w:rsid w:val="00645F9F"/>
    <w:rsid w:val="006460CE"/>
    <w:rsid w:val="006464BE"/>
    <w:rsid w:val="006475BC"/>
    <w:rsid w:val="00647736"/>
    <w:rsid w:val="00647EC0"/>
    <w:rsid w:val="006506E9"/>
    <w:rsid w:val="00650A83"/>
    <w:rsid w:val="006513BD"/>
    <w:rsid w:val="00651935"/>
    <w:rsid w:val="00652206"/>
    <w:rsid w:val="0065318F"/>
    <w:rsid w:val="006531B3"/>
    <w:rsid w:val="006535C8"/>
    <w:rsid w:val="00653849"/>
    <w:rsid w:val="00653CCE"/>
    <w:rsid w:val="00653DB9"/>
    <w:rsid w:val="006543B9"/>
    <w:rsid w:val="00654D63"/>
    <w:rsid w:val="006553C5"/>
    <w:rsid w:val="006557FE"/>
    <w:rsid w:val="00655911"/>
    <w:rsid w:val="006559F3"/>
    <w:rsid w:val="00655C93"/>
    <w:rsid w:val="00656890"/>
    <w:rsid w:val="00656C60"/>
    <w:rsid w:val="00656CE9"/>
    <w:rsid w:val="00656DF0"/>
    <w:rsid w:val="00657416"/>
    <w:rsid w:val="006574DE"/>
    <w:rsid w:val="00657661"/>
    <w:rsid w:val="00657705"/>
    <w:rsid w:val="00657F0C"/>
    <w:rsid w:val="0066011E"/>
    <w:rsid w:val="006605AA"/>
    <w:rsid w:val="006607C7"/>
    <w:rsid w:val="00660998"/>
    <w:rsid w:val="00660C5A"/>
    <w:rsid w:val="00660CAF"/>
    <w:rsid w:val="00660F7B"/>
    <w:rsid w:val="00661460"/>
    <w:rsid w:val="0066162C"/>
    <w:rsid w:val="00662A24"/>
    <w:rsid w:val="006633D7"/>
    <w:rsid w:val="006637E2"/>
    <w:rsid w:val="00663F7F"/>
    <w:rsid w:val="00664157"/>
    <w:rsid w:val="00664303"/>
    <w:rsid w:val="00664B55"/>
    <w:rsid w:val="00664B76"/>
    <w:rsid w:val="006655F7"/>
    <w:rsid w:val="006657EC"/>
    <w:rsid w:val="006658AD"/>
    <w:rsid w:val="00665D80"/>
    <w:rsid w:val="00666639"/>
    <w:rsid w:val="006667CB"/>
    <w:rsid w:val="00666DD4"/>
    <w:rsid w:val="006679C5"/>
    <w:rsid w:val="006700BE"/>
    <w:rsid w:val="00670466"/>
    <w:rsid w:val="0067064D"/>
    <w:rsid w:val="006708DF"/>
    <w:rsid w:val="006708F5"/>
    <w:rsid w:val="00670BF2"/>
    <w:rsid w:val="00670E85"/>
    <w:rsid w:val="00671046"/>
    <w:rsid w:val="006710A2"/>
    <w:rsid w:val="0067151E"/>
    <w:rsid w:val="006717B6"/>
    <w:rsid w:val="00671912"/>
    <w:rsid w:val="00671BC7"/>
    <w:rsid w:val="00671C3E"/>
    <w:rsid w:val="00671E19"/>
    <w:rsid w:val="006720F1"/>
    <w:rsid w:val="006723CA"/>
    <w:rsid w:val="006724F4"/>
    <w:rsid w:val="00672789"/>
    <w:rsid w:val="00673B16"/>
    <w:rsid w:val="00673B65"/>
    <w:rsid w:val="00673DE9"/>
    <w:rsid w:val="00673E6E"/>
    <w:rsid w:val="006740B6"/>
    <w:rsid w:val="00674A53"/>
    <w:rsid w:val="0067538F"/>
    <w:rsid w:val="006758C8"/>
    <w:rsid w:val="00675C40"/>
    <w:rsid w:val="00675F3F"/>
    <w:rsid w:val="006761B3"/>
    <w:rsid w:val="00676C38"/>
    <w:rsid w:val="00677269"/>
    <w:rsid w:val="00677E67"/>
    <w:rsid w:val="0068052B"/>
    <w:rsid w:val="0068075E"/>
    <w:rsid w:val="00680880"/>
    <w:rsid w:val="00680BFA"/>
    <w:rsid w:val="006810BE"/>
    <w:rsid w:val="006814F5"/>
    <w:rsid w:val="0068190B"/>
    <w:rsid w:val="0068232E"/>
    <w:rsid w:val="006825FF"/>
    <w:rsid w:val="006827BC"/>
    <w:rsid w:val="00682E20"/>
    <w:rsid w:val="00683277"/>
    <w:rsid w:val="00683278"/>
    <w:rsid w:val="0068366F"/>
    <w:rsid w:val="00683A00"/>
    <w:rsid w:val="00683DC4"/>
    <w:rsid w:val="00685ABF"/>
    <w:rsid w:val="00685CD5"/>
    <w:rsid w:val="00685EC7"/>
    <w:rsid w:val="006865BA"/>
    <w:rsid w:val="00686CB2"/>
    <w:rsid w:val="00687ED9"/>
    <w:rsid w:val="00687F09"/>
    <w:rsid w:val="00690075"/>
    <w:rsid w:val="00690658"/>
    <w:rsid w:val="0069066F"/>
    <w:rsid w:val="006906D2"/>
    <w:rsid w:val="00691249"/>
    <w:rsid w:val="006918BD"/>
    <w:rsid w:val="00691BCE"/>
    <w:rsid w:val="00691DF1"/>
    <w:rsid w:val="00691E23"/>
    <w:rsid w:val="00691E83"/>
    <w:rsid w:val="0069285A"/>
    <w:rsid w:val="006937F6"/>
    <w:rsid w:val="00693CC3"/>
    <w:rsid w:val="00693E42"/>
    <w:rsid w:val="00693F58"/>
    <w:rsid w:val="00693FA0"/>
    <w:rsid w:val="00693FB9"/>
    <w:rsid w:val="00694A30"/>
    <w:rsid w:val="006954F2"/>
    <w:rsid w:val="00695864"/>
    <w:rsid w:val="00695A45"/>
    <w:rsid w:val="00695FAF"/>
    <w:rsid w:val="006961D1"/>
    <w:rsid w:val="00696528"/>
    <w:rsid w:val="00696864"/>
    <w:rsid w:val="00696AA3"/>
    <w:rsid w:val="00696E58"/>
    <w:rsid w:val="00697347"/>
    <w:rsid w:val="0069797A"/>
    <w:rsid w:val="006A0C34"/>
    <w:rsid w:val="006A105F"/>
    <w:rsid w:val="006A11FB"/>
    <w:rsid w:val="006A136F"/>
    <w:rsid w:val="006A142C"/>
    <w:rsid w:val="006A14CD"/>
    <w:rsid w:val="006A14F3"/>
    <w:rsid w:val="006A1551"/>
    <w:rsid w:val="006A16CB"/>
    <w:rsid w:val="006A1A05"/>
    <w:rsid w:val="006A1B38"/>
    <w:rsid w:val="006A23F0"/>
    <w:rsid w:val="006A242E"/>
    <w:rsid w:val="006A25E2"/>
    <w:rsid w:val="006A2B70"/>
    <w:rsid w:val="006A33B7"/>
    <w:rsid w:val="006A443D"/>
    <w:rsid w:val="006A4444"/>
    <w:rsid w:val="006A46E6"/>
    <w:rsid w:val="006A48B9"/>
    <w:rsid w:val="006A4A9F"/>
    <w:rsid w:val="006A4B45"/>
    <w:rsid w:val="006A51B0"/>
    <w:rsid w:val="006A551B"/>
    <w:rsid w:val="006A5869"/>
    <w:rsid w:val="006A5FDA"/>
    <w:rsid w:val="006A6194"/>
    <w:rsid w:val="006A6C49"/>
    <w:rsid w:val="006A7276"/>
    <w:rsid w:val="006A7B58"/>
    <w:rsid w:val="006A7F2D"/>
    <w:rsid w:val="006A7F9E"/>
    <w:rsid w:val="006A7FF9"/>
    <w:rsid w:val="006B022F"/>
    <w:rsid w:val="006B0869"/>
    <w:rsid w:val="006B0E43"/>
    <w:rsid w:val="006B1201"/>
    <w:rsid w:val="006B1252"/>
    <w:rsid w:val="006B1609"/>
    <w:rsid w:val="006B1E5C"/>
    <w:rsid w:val="006B24E6"/>
    <w:rsid w:val="006B2953"/>
    <w:rsid w:val="006B2D02"/>
    <w:rsid w:val="006B30FC"/>
    <w:rsid w:val="006B3176"/>
    <w:rsid w:val="006B33F3"/>
    <w:rsid w:val="006B3630"/>
    <w:rsid w:val="006B384F"/>
    <w:rsid w:val="006B3CBD"/>
    <w:rsid w:val="006B4351"/>
    <w:rsid w:val="006B4409"/>
    <w:rsid w:val="006B44FD"/>
    <w:rsid w:val="006B4FE6"/>
    <w:rsid w:val="006B5153"/>
    <w:rsid w:val="006B55BB"/>
    <w:rsid w:val="006B5C65"/>
    <w:rsid w:val="006B648C"/>
    <w:rsid w:val="006B6AA5"/>
    <w:rsid w:val="006B6F5E"/>
    <w:rsid w:val="006B73AA"/>
    <w:rsid w:val="006B74A1"/>
    <w:rsid w:val="006B7A83"/>
    <w:rsid w:val="006B7BC2"/>
    <w:rsid w:val="006B7EDD"/>
    <w:rsid w:val="006B7EE3"/>
    <w:rsid w:val="006B7F19"/>
    <w:rsid w:val="006B7F6A"/>
    <w:rsid w:val="006C00A2"/>
    <w:rsid w:val="006C0490"/>
    <w:rsid w:val="006C112F"/>
    <w:rsid w:val="006C13E4"/>
    <w:rsid w:val="006C1555"/>
    <w:rsid w:val="006C1B58"/>
    <w:rsid w:val="006C2509"/>
    <w:rsid w:val="006C266A"/>
    <w:rsid w:val="006C268A"/>
    <w:rsid w:val="006C2858"/>
    <w:rsid w:val="006C394D"/>
    <w:rsid w:val="006C3AA6"/>
    <w:rsid w:val="006C3ACF"/>
    <w:rsid w:val="006C41FB"/>
    <w:rsid w:val="006C4D2A"/>
    <w:rsid w:val="006C4DEC"/>
    <w:rsid w:val="006C4FCB"/>
    <w:rsid w:val="006C5327"/>
    <w:rsid w:val="006C55BC"/>
    <w:rsid w:val="006C56AD"/>
    <w:rsid w:val="006C5B39"/>
    <w:rsid w:val="006C5C54"/>
    <w:rsid w:val="006C5F5E"/>
    <w:rsid w:val="006C68DC"/>
    <w:rsid w:val="006C6981"/>
    <w:rsid w:val="006C6C24"/>
    <w:rsid w:val="006C76DF"/>
    <w:rsid w:val="006C7F24"/>
    <w:rsid w:val="006D00F5"/>
    <w:rsid w:val="006D02C4"/>
    <w:rsid w:val="006D033A"/>
    <w:rsid w:val="006D03EE"/>
    <w:rsid w:val="006D050C"/>
    <w:rsid w:val="006D0B07"/>
    <w:rsid w:val="006D0C28"/>
    <w:rsid w:val="006D1194"/>
    <w:rsid w:val="006D1232"/>
    <w:rsid w:val="006D1491"/>
    <w:rsid w:val="006D1661"/>
    <w:rsid w:val="006D1E46"/>
    <w:rsid w:val="006D21C9"/>
    <w:rsid w:val="006D21E7"/>
    <w:rsid w:val="006D2A55"/>
    <w:rsid w:val="006D34A7"/>
    <w:rsid w:val="006D3BC5"/>
    <w:rsid w:val="006D3F8F"/>
    <w:rsid w:val="006D40F7"/>
    <w:rsid w:val="006D45A5"/>
    <w:rsid w:val="006D5364"/>
    <w:rsid w:val="006D539E"/>
    <w:rsid w:val="006D53F8"/>
    <w:rsid w:val="006D5542"/>
    <w:rsid w:val="006D5AEC"/>
    <w:rsid w:val="006D5CD5"/>
    <w:rsid w:val="006D6752"/>
    <w:rsid w:val="006D68B7"/>
    <w:rsid w:val="006D6A9D"/>
    <w:rsid w:val="006D6EC2"/>
    <w:rsid w:val="006D7012"/>
    <w:rsid w:val="006D7348"/>
    <w:rsid w:val="006D7543"/>
    <w:rsid w:val="006D7A42"/>
    <w:rsid w:val="006D7FFD"/>
    <w:rsid w:val="006E0E4C"/>
    <w:rsid w:val="006E0EFC"/>
    <w:rsid w:val="006E0FA3"/>
    <w:rsid w:val="006E178C"/>
    <w:rsid w:val="006E1E92"/>
    <w:rsid w:val="006E284C"/>
    <w:rsid w:val="006E3167"/>
    <w:rsid w:val="006E34CB"/>
    <w:rsid w:val="006E3661"/>
    <w:rsid w:val="006E384F"/>
    <w:rsid w:val="006E39E6"/>
    <w:rsid w:val="006E4AA2"/>
    <w:rsid w:val="006E4AA8"/>
    <w:rsid w:val="006E4AED"/>
    <w:rsid w:val="006E5585"/>
    <w:rsid w:val="006E5659"/>
    <w:rsid w:val="006E5ACC"/>
    <w:rsid w:val="006E5B36"/>
    <w:rsid w:val="006E6068"/>
    <w:rsid w:val="006E61C6"/>
    <w:rsid w:val="006E6880"/>
    <w:rsid w:val="006E6E87"/>
    <w:rsid w:val="006E71D5"/>
    <w:rsid w:val="006E7559"/>
    <w:rsid w:val="006E770E"/>
    <w:rsid w:val="006E7DAF"/>
    <w:rsid w:val="006F0533"/>
    <w:rsid w:val="006F0FFF"/>
    <w:rsid w:val="006F1250"/>
    <w:rsid w:val="006F1302"/>
    <w:rsid w:val="006F17C2"/>
    <w:rsid w:val="006F19B9"/>
    <w:rsid w:val="006F1BAF"/>
    <w:rsid w:val="006F1C3A"/>
    <w:rsid w:val="006F2870"/>
    <w:rsid w:val="006F2FA8"/>
    <w:rsid w:val="006F34C6"/>
    <w:rsid w:val="006F3A2E"/>
    <w:rsid w:val="006F41CC"/>
    <w:rsid w:val="006F4238"/>
    <w:rsid w:val="006F4B63"/>
    <w:rsid w:val="006F4D08"/>
    <w:rsid w:val="006F4ECA"/>
    <w:rsid w:val="006F5720"/>
    <w:rsid w:val="006F6E0C"/>
    <w:rsid w:val="006F6ED2"/>
    <w:rsid w:val="006F6ED9"/>
    <w:rsid w:val="006F7CA1"/>
    <w:rsid w:val="007004FE"/>
    <w:rsid w:val="00700539"/>
    <w:rsid w:val="0070071E"/>
    <w:rsid w:val="007008D4"/>
    <w:rsid w:val="00700CAE"/>
    <w:rsid w:val="00700D16"/>
    <w:rsid w:val="00700F18"/>
    <w:rsid w:val="00701CE6"/>
    <w:rsid w:val="00702289"/>
    <w:rsid w:val="0070299B"/>
    <w:rsid w:val="00702D35"/>
    <w:rsid w:val="00702E16"/>
    <w:rsid w:val="00703187"/>
    <w:rsid w:val="00703447"/>
    <w:rsid w:val="007035E1"/>
    <w:rsid w:val="007037F8"/>
    <w:rsid w:val="00703990"/>
    <w:rsid w:val="00704431"/>
    <w:rsid w:val="0070514B"/>
    <w:rsid w:val="00705B8E"/>
    <w:rsid w:val="00705E0F"/>
    <w:rsid w:val="00705F3C"/>
    <w:rsid w:val="00707276"/>
    <w:rsid w:val="007072F4"/>
    <w:rsid w:val="0070759F"/>
    <w:rsid w:val="007078BC"/>
    <w:rsid w:val="00707B17"/>
    <w:rsid w:val="0071013B"/>
    <w:rsid w:val="00710CFB"/>
    <w:rsid w:val="00711250"/>
    <w:rsid w:val="0071168F"/>
    <w:rsid w:val="00711805"/>
    <w:rsid w:val="00711B33"/>
    <w:rsid w:val="00711D6A"/>
    <w:rsid w:val="007120F4"/>
    <w:rsid w:val="007122FD"/>
    <w:rsid w:val="007125CB"/>
    <w:rsid w:val="00713AA6"/>
    <w:rsid w:val="00713EB7"/>
    <w:rsid w:val="007148D1"/>
    <w:rsid w:val="00714D69"/>
    <w:rsid w:val="007156B0"/>
    <w:rsid w:val="007159B0"/>
    <w:rsid w:val="007159F9"/>
    <w:rsid w:val="00715F64"/>
    <w:rsid w:val="00716459"/>
    <w:rsid w:val="00716B61"/>
    <w:rsid w:val="007170E1"/>
    <w:rsid w:val="00717865"/>
    <w:rsid w:val="00717E08"/>
    <w:rsid w:val="007204E5"/>
    <w:rsid w:val="0072056B"/>
    <w:rsid w:val="00720761"/>
    <w:rsid w:val="00720AD3"/>
    <w:rsid w:val="00720F69"/>
    <w:rsid w:val="00721538"/>
    <w:rsid w:val="007219F6"/>
    <w:rsid w:val="00721EB7"/>
    <w:rsid w:val="007220E7"/>
    <w:rsid w:val="00722384"/>
    <w:rsid w:val="007223A1"/>
    <w:rsid w:val="007223C1"/>
    <w:rsid w:val="007224E2"/>
    <w:rsid w:val="00723A05"/>
    <w:rsid w:val="00723D36"/>
    <w:rsid w:val="00724161"/>
    <w:rsid w:val="0072466E"/>
    <w:rsid w:val="0072578D"/>
    <w:rsid w:val="00725CEE"/>
    <w:rsid w:val="00726013"/>
    <w:rsid w:val="00726515"/>
    <w:rsid w:val="007265C7"/>
    <w:rsid w:val="00727601"/>
    <w:rsid w:val="00727B1B"/>
    <w:rsid w:val="00727D7A"/>
    <w:rsid w:val="00730003"/>
    <w:rsid w:val="00730326"/>
    <w:rsid w:val="0073104C"/>
    <w:rsid w:val="0073126F"/>
    <w:rsid w:val="0073196C"/>
    <w:rsid w:val="007319FF"/>
    <w:rsid w:val="00732CAC"/>
    <w:rsid w:val="00732CD2"/>
    <w:rsid w:val="00732E0A"/>
    <w:rsid w:val="007334FD"/>
    <w:rsid w:val="00733FA0"/>
    <w:rsid w:val="0073426B"/>
    <w:rsid w:val="007342AE"/>
    <w:rsid w:val="00734AAF"/>
    <w:rsid w:val="00735D30"/>
    <w:rsid w:val="00735D79"/>
    <w:rsid w:val="0073612C"/>
    <w:rsid w:val="00736D86"/>
    <w:rsid w:val="007378BC"/>
    <w:rsid w:val="00737EE6"/>
    <w:rsid w:val="00741529"/>
    <w:rsid w:val="007415EF"/>
    <w:rsid w:val="00741ADA"/>
    <w:rsid w:val="00741DA5"/>
    <w:rsid w:val="00741ED4"/>
    <w:rsid w:val="00741F4A"/>
    <w:rsid w:val="007424AE"/>
    <w:rsid w:val="00742678"/>
    <w:rsid w:val="00744038"/>
    <w:rsid w:val="007446CA"/>
    <w:rsid w:val="0074500D"/>
    <w:rsid w:val="00745073"/>
    <w:rsid w:val="00745164"/>
    <w:rsid w:val="00745430"/>
    <w:rsid w:val="0074556A"/>
    <w:rsid w:val="00745A9C"/>
    <w:rsid w:val="00745BEB"/>
    <w:rsid w:val="00745DFD"/>
    <w:rsid w:val="00745E5F"/>
    <w:rsid w:val="0074681B"/>
    <w:rsid w:val="00746B74"/>
    <w:rsid w:val="007471B9"/>
    <w:rsid w:val="007478AA"/>
    <w:rsid w:val="0075086F"/>
    <w:rsid w:val="007513E9"/>
    <w:rsid w:val="00751B01"/>
    <w:rsid w:val="00751B1F"/>
    <w:rsid w:val="00751CD3"/>
    <w:rsid w:val="007521AB"/>
    <w:rsid w:val="00752384"/>
    <w:rsid w:val="0075248C"/>
    <w:rsid w:val="00752F2F"/>
    <w:rsid w:val="007531C9"/>
    <w:rsid w:val="00753645"/>
    <w:rsid w:val="00753650"/>
    <w:rsid w:val="007538C4"/>
    <w:rsid w:val="007538D0"/>
    <w:rsid w:val="00753BF1"/>
    <w:rsid w:val="00753CC7"/>
    <w:rsid w:val="00753E48"/>
    <w:rsid w:val="00754247"/>
    <w:rsid w:val="0075443A"/>
    <w:rsid w:val="00754470"/>
    <w:rsid w:val="00754DA7"/>
    <w:rsid w:val="00754DE5"/>
    <w:rsid w:val="007557D9"/>
    <w:rsid w:val="00755B9F"/>
    <w:rsid w:val="00755DC4"/>
    <w:rsid w:val="00755E58"/>
    <w:rsid w:val="00755EFD"/>
    <w:rsid w:val="00755F78"/>
    <w:rsid w:val="0075635F"/>
    <w:rsid w:val="007563D5"/>
    <w:rsid w:val="007566D4"/>
    <w:rsid w:val="007569A6"/>
    <w:rsid w:val="00756FBF"/>
    <w:rsid w:val="007575D7"/>
    <w:rsid w:val="00757B51"/>
    <w:rsid w:val="0076038E"/>
    <w:rsid w:val="007604B0"/>
    <w:rsid w:val="0076066C"/>
    <w:rsid w:val="00760915"/>
    <w:rsid w:val="00760A78"/>
    <w:rsid w:val="007614DD"/>
    <w:rsid w:val="00761578"/>
    <w:rsid w:val="00761701"/>
    <w:rsid w:val="007623DB"/>
    <w:rsid w:val="007625B4"/>
    <w:rsid w:val="00762905"/>
    <w:rsid w:val="0076292B"/>
    <w:rsid w:val="00762A1B"/>
    <w:rsid w:val="00762F6E"/>
    <w:rsid w:val="00763873"/>
    <w:rsid w:val="00763F3F"/>
    <w:rsid w:val="0076408F"/>
    <w:rsid w:val="007640B9"/>
    <w:rsid w:val="007646CB"/>
    <w:rsid w:val="00764A4F"/>
    <w:rsid w:val="00764FB0"/>
    <w:rsid w:val="00765349"/>
    <w:rsid w:val="007654BA"/>
    <w:rsid w:val="00765AA2"/>
    <w:rsid w:val="00766422"/>
    <w:rsid w:val="00767031"/>
    <w:rsid w:val="007674BB"/>
    <w:rsid w:val="0076754B"/>
    <w:rsid w:val="00767594"/>
    <w:rsid w:val="00767658"/>
    <w:rsid w:val="00767794"/>
    <w:rsid w:val="00767A43"/>
    <w:rsid w:val="00767C4E"/>
    <w:rsid w:val="00770110"/>
    <w:rsid w:val="007708ED"/>
    <w:rsid w:val="00770BB6"/>
    <w:rsid w:val="00770CEB"/>
    <w:rsid w:val="00771301"/>
    <w:rsid w:val="0077349F"/>
    <w:rsid w:val="007735FA"/>
    <w:rsid w:val="007737E9"/>
    <w:rsid w:val="00773A42"/>
    <w:rsid w:val="007742B6"/>
    <w:rsid w:val="007747FD"/>
    <w:rsid w:val="00775482"/>
    <w:rsid w:val="00775525"/>
    <w:rsid w:val="00776E30"/>
    <w:rsid w:val="00776FC0"/>
    <w:rsid w:val="007771E6"/>
    <w:rsid w:val="0077736F"/>
    <w:rsid w:val="00777614"/>
    <w:rsid w:val="00777928"/>
    <w:rsid w:val="00777F4F"/>
    <w:rsid w:val="00780764"/>
    <w:rsid w:val="00780DAB"/>
    <w:rsid w:val="00781218"/>
    <w:rsid w:val="007812FA"/>
    <w:rsid w:val="0078168E"/>
    <w:rsid w:val="00782908"/>
    <w:rsid w:val="007829AD"/>
    <w:rsid w:val="00782F08"/>
    <w:rsid w:val="007833E8"/>
    <w:rsid w:val="00783535"/>
    <w:rsid w:val="00783B46"/>
    <w:rsid w:val="007841FE"/>
    <w:rsid w:val="00784489"/>
    <w:rsid w:val="00785A77"/>
    <w:rsid w:val="00785C9C"/>
    <w:rsid w:val="00785E06"/>
    <w:rsid w:val="00786493"/>
    <w:rsid w:val="00786CEF"/>
    <w:rsid w:val="007870E1"/>
    <w:rsid w:val="00787223"/>
    <w:rsid w:val="00787470"/>
    <w:rsid w:val="0078759F"/>
    <w:rsid w:val="00787D26"/>
    <w:rsid w:val="00790107"/>
    <w:rsid w:val="00790575"/>
    <w:rsid w:val="00790706"/>
    <w:rsid w:val="0079097A"/>
    <w:rsid w:val="00791654"/>
    <w:rsid w:val="00791944"/>
    <w:rsid w:val="007922D4"/>
    <w:rsid w:val="00793A42"/>
    <w:rsid w:val="00794B03"/>
    <w:rsid w:val="00794B86"/>
    <w:rsid w:val="0079528F"/>
    <w:rsid w:val="00795ECD"/>
    <w:rsid w:val="00796550"/>
    <w:rsid w:val="00796BC6"/>
    <w:rsid w:val="00796C81"/>
    <w:rsid w:val="00796D58"/>
    <w:rsid w:val="00797454"/>
    <w:rsid w:val="007A0633"/>
    <w:rsid w:val="007A0925"/>
    <w:rsid w:val="007A0F75"/>
    <w:rsid w:val="007A1AA4"/>
    <w:rsid w:val="007A1DE0"/>
    <w:rsid w:val="007A2049"/>
    <w:rsid w:val="007A3D8D"/>
    <w:rsid w:val="007A4407"/>
    <w:rsid w:val="007A4495"/>
    <w:rsid w:val="007A4C4F"/>
    <w:rsid w:val="007A51AE"/>
    <w:rsid w:val="007A54EE"/>
    <w:rsid w:val="007A5896"/>
    <w:rsid w:val="007A5E66"/>
    <w:rsid w:val="007A6889"/>
    <w:rsid w:val="007A6B16"/>
    <w:rsid w:val="007A7048"/>
    <w:rsid w:val="007A7082"/>
    <w:rsid w:val="007A7C89"/>
    <w:rsid w:val="007A7FD2"/>
    <w:rsid w:val="007B0150"/>
    <w:rsid w:val="007B0D0E"/>
    <w:rsid w:val="007B1524"/>
    <w:rsid w:val="007B1F48"/>
    <w:rsid w:val="007B279A"/>
    <w:rsid w:val="007B28DB"/>
    <w:rsid w:val="007B3155"/>
    <w:rsid w:val="007B3845"/>
    <w:rsid w:val="007B3CB8"/>
    <w:rsid w:val="007B4053"/>
    <w:rsid w:val="007B40E7"/>
    <w:rsid w:val="007B42D1"/>
    <w:rsid w:val="007B4A7F"/>
    <w:rsid w:val="007B4F85"/>
    <w:rsid w:val="007B512C"/>
    <w:rsid w:val="007B52CF"/>
    <w:rsid w:val="007B5B05"/>
    <w:rsid w:val="007B5CA3"/>
    <w:rsid w:val="007B5CDF"/>
    <w:rsid w:val="007B5F59"/>
    <w:rsid w:val="007B61F1"/>
    <w:rsid w:val="007B6232"/>
    <w:rsid w:val="007B6373"/>
    <w:rsid w:val="007B6811"/>
    <w:rsid w:val="007B6AAA"/>
    <w:rsid w:val="007B6D1F"/>
    <w:rsid w:val="007B6E17"/>
    <w:rsid w:val="007B74DB"/>
    <w:rsid w:val="007B7789"/>
    <w:rsid w:val="007B7953"/>
    <w:rsid w:val="007B7F42"/>
    <w:rsid w:val="007C03A1"/>
    <w:rsid w:val="007C08C9"/>
    <w:rsid w:val="007C0C02"/>
    <w:rsid w:val="007C2864"/>
    <w:rsid w:val="007C2E17"/>
    <w:rsid w:val="007C30BA"/>
    <w:rsid w:val="007C3870"/>
    <w:rsid w:val="007C3AF7"/>
    <w:rsid w:val="007C44D8"/>
    <w:rsid w:val="007C4599"/>
    <w:rsid w:val="007C45E3"/>
    <w:rsid w:val="007C46B2"/>
    <w:rsid w:val="007C46CB"/>
    <w:rsid w:val="007C4985"/>
    <w:rsid w:val="007C4B97"/>
    <w:rsid w:val="007C4D88"/>
    <w:rsid w:val="007C50BA"/>
    <w:rsid w:val="007C57D6"/>
    <w:rsid w:val="007C5E18"/>
    <w:rsid w:val="007C66C9"/>
    <w:rsid w:val="007C6FD7"/>
    <w:rsid w:val="007C7E02"/>
    <w:rsid w:val="007D0176"/>
    <w:rsid w:val="007D01A8"/>
    <w:rsid w:val="007D020A"/>
    <w:rsid w:val="007D03C8"/>
    <w:rsid w:val="007D03CE"/>
    <w:rsid w:val="007D0463"/>
    <w:rsid w:val="007D07DF"/>
    <w:rsid w:val="007D08DF"/>
    <w:rsid w:val="007D0C64"/>
    <w:rsid w:val="007D0D2B"/>
    <w:rsid w:val="007D0E3D"/>
    <w:rsid w:val="007D1040"/>
    <w:rsid w:val="007D10A0"/>
    <w:rsid w:val="007D10CA"/>
    <w:rsid w:val="007D1232"/>
    <w:rsid w:val="007D1615"/>
    <w:rsid w:val="007D1667"/>
    <w:rsid w:val="007D185C"/>
    <w:rsid w:val="007D1A3F"/>
    <w:rsid w:val="007D23C9"/>
    <w:rsid w:val="007D2666"/>
    <w:rsid w:val="007D2CCC"/>
    <w:rsid w:val="007D34C4"/>
    <w:rsid w:val="007D35B3"/>
    <w:rsid w:val="007D3FEE"/>
    <w:rsid w:val="007D4602"/>
    <w:rsid w:val="007D4703"/>
    <w:rsid w:val="007D504A"/>
    <w:rsid w:val="007D5090"/>
    <w:rsid w:val="007D5252"/>
    <w:rsid w:val="007D53A7"/>
    <w:rsid w:val="007D59FE"/>
    <w:rsid w:val="007D601C"/>
    <w:rsid w:val="007D6168"/>
    <w:rsid w:val="007D6DAB"/>
    <w:rsid w:val="007D6F42"/>
    <w:rsid w:val="007D7018"/>
    <w:rsid w:val="007D7513"/>
    <w:rsid w:val="007D7797"/>
    <w:rsid w:val="007D7BFB"/>
    <w:rsid w:val="007D7DFE"/>
    <w:rsid w:val="007E09EE"/>
    <w:rsid w:val="007E0D86"/>
    <w:rsid w:val="007E0E92"/>
    <w:rsid w:val="007E126E"/>
    <w:rsid w:val="007E1606"/>
    <w:rsid w:val="007E1A04"/>
    <w:rsid w:val="007E1C00"/>
    <w:rsid w:val="007E1D9F"/>
    <w:rsid w:val="007E1FB2"/>
    <w:rsid w:val="007E201A"/>
    <w:rsid w:val="007E2705"/>
    <w:rsid w:val="007E30BC"/>
    <w:rsid w:val="007E311A"/>
    <w:rsid w:val="007E32D1"/>
    <w:rsid w:val="007E38D0"/>
    <w:rsid w:val="007E3B39"/>
    <w:rsid w:val="007E46F3"/>
    <w:rsid w:val="007E4998"/>
    <w:rsid w:val="007E4A46"/>
    <w:rsid w:val="007E5A0B"/>
    <w:rsid w:val="007E5A46"/>
    <w:rsid w:val="007E5C5D"/>
    <w:rsid w:val="007E5F85"/>
    <w:rsid w:val="007E6318"/>
    <w:rsid w:val="007E63B6"/>
    <w:rsid w:val="007E6AE5"/>
    <w:rsid w:val="007E6CC5"/>
    <w:rsid w:val="007E6EE5"/>
    <w:rsid w:val="007E6EF2"/>
    <w:rsid w:val="007E70A6"/>
    <w:rsid w:val="007E79E4"/>
    <w:rsid w:val="007F0135"/>
    <w:rsid w:val="007F0B66"/>
    <w:rsid w:val="007F0F4A"/>
    <w:rsid w:val="007F14E9"/>
    <w:rsid w:val="007F2398"/>
    <w:rsid w:val="007F29F8"/>
    <w:rsid w:val="007F2A3A"/>
    <w:rsid w:val="007F2B8B"/>
    <w:rsid w:val="007F3041"/>
    <w:rsid w:val="007F3F65"/>
    <w:rsid w:val="007F44F7"/>
    <w:rsid w:val="007F461B"/>
    <w:rsid w:val="007F4951"/>
    <w:rsid w:val="007F543F"/>
    <w:rsid w:val="007F5617"/>
    <w:rsid w:val="007F5A6E"/>
    <w:rsid w:val="007F5D99"/>
    <w:rsid w:val="007F634E"/>
    <w:rsid w:val="007F6984"/>
    <w:rsid w:val="007F6BFF"/>
    <w:rsid w:val="00800268"/>
    <w:rsid w:val="00800393"/>
    <w:rsid w:val="00800495"/>
    <w:rsid w:val="00800D1F"/>
    <w:rsid w:val="0080127D"/>
    <w:rsid w:val="00801362"/>
    <w:rsid w:val="00801B8F"/>
    <w:rsid w:val="00802112"/>
    <w:rsid w:val="008021AE"/>
    <w:rsid w:val="00802C33"/>
    <w:rsid w:val="00802EA2"/>
    <w:rsid w:val="00803E1A"/>
    <w:rsid w:val="0080413C"/>
    <w:rsid w:val="00804198"/>
    <w:rsid w:val="00804240"/>
    <w:rsid w:val="008043C9"/>
    <w:rsid w:val="0080447E"/>
    <w:rsid w:val="0080461E"/>
    <w:rsid w:val="00804BC1"/>
    <w:rsid w:val="00804C1E"/>
    <w:rsid w:val="00804DDC"/>
    <w:rsid w:val="00804E6E"/>
    <w:rsid w:val="0080521F"/>
    <w:rsid w:val="00805828"/>
    <w:rsid w:val="00806217"/>
    <w:rsid w:val="008068C8"/>
    <w:rsid w:val="00806A0C"/>
    <w:rsid w:val="00806DEB"/>
    <w:rsid w:val="008070D9"/>
    <w:rsid w:val="008077D2"/>
    <w:rsid w:val="00807E3E"/>
    <w:rsid w:val="00810233"/>
    <w:rsid w:val="00810977"/>
    <w:rsid w:val="00810993"/>
    <w:rsid w:val="00810E29"/>
    <w:rsid w:val="0081179A"/>
    <w:rsid w:val="0081188D"/>
    <w:rsid w:val="00811E99"/>
    <w:rsid w:val="0081222D"/>
    <w:rsid w:val="00812A77"/>
    <w:rsid w:val="00812EEF"/>
    <w:rsid w:val="008132BB"/>
    <w:rsid w:val="008134C5"/>
    <w:rsid w:val="008138AF"/>
    <w:rsid w:val="00813F7B"/>
    <w:rsid w:val="008145F0"/>
    <w:rsid w:val="00814AE1"/>
    <w:rsid w:val="00814BED"/>
    <w:rsid w:val="00815061"/>
    <w:rsid w:val="00815CC8"/>
    <w:rsid w:val="00815D62"/>
    <w:rsid w:val="00815F6D"/>
    <w:rsid w:val="00816269"/>
    <w:rsid w:val="008164E9"/>
    <w:rsid w:val="0081695E"/>
    <w:rsid w:val="0081696D"/>
    <w:rsid w:val="00817090"/>
    <w:rsid w:val="008172DB"/>
    <w:rsid w:val="00817545"/>
    <w:rsid w:val="008176F4"/>
    <w:rsid w:val="00817E53"/>
    <w:rsid w:val="00817FE6"/>
    <w:rsid w:val="0082002F"/>
    <w:rsid w:val="00820A91"/>
    <w:rsid w:val="00820BE5"/>
    <w:rsid w:val="0082284C"/>
    <w:rsid w:val="008228DE"/>
    <w:rsid w:val="00822B1A"/>
    <w:rsid w:val="00822DAE"/>
    <w:rsid w:val="008236A8"/>
    <w:rsid w:val="00824288"/>
    <w:rsid w:val="008247A0"/>
    <w:rsid w:val="00824EE8"/>
    <w:rsid w:val="00825095"/>
    <w:rsid w:val="00825A0A"/>
    <w:rsid w:val="008265BE"/>
    <w:rsid w:val="008266B9"/>
    <w:rsid w:val="00826BA1"/>
    <w:rsid w:val="00826CE4"/>
    <w:rsid w:val="00827A0C"/>
    <w:rsid w:val="00827E4F"/>
    <w:rsid w:val="0083036D"/>
    <w:rsid w:val="0083056B"/>
    <w:rsid w:val="00831070"/>
    <w:rsid w:val="00831327"/>
    <w:rsid w:val="00831CFE"/>
    <w:rsid w:val="00832448"/>
    <w:rsid w:val="00832454"/>
    <w:rsid w:val="008325CC"/>
    <w:rsid w:val="0083267A"/>
    <w:rsid w:val="00832B6A"/>
    <w:rsid w:val="00832E21"/>
    <w:rsid w:val="00833E33"/>
    <w:rsid w:val="008341A1"/>
    <w:rsid w:val="0083544D"/>
    <w:rsid w:val="00835E22"/>
    <w:rsid w:val="008360AA"/>
    <w:rsid w:val="0083613F"/>
    <w:rsid w:val="00836AB1"/>
    <w:rsid w:val="00837724"/>
    <w:rsid w:val="008379B1"/>
    <w:rsid w:val="00837A61"/>
    <w:rsid w:val="00837E8A"/>
    <w:rsid w:val="008402F4"/>
    <w:rsid w:val="0084048A"/>
    <w:rsid w:val="00840846"/>
    <w:rsid w:val="0084102F"/>
    <w:rsid w:val="00841042"/>
    <w:rsid w:val="00841235"/>
    <w:rsid w:val="00841A39"/>
    <w:rsid w:val="00841AEB"/>
    <w:rsid w:val="00841FD2"/>
    <w:rsid w:val="00842627"/>
    <w:rsid w:val="00842D28"/>
    <w:rsid w:val="008431DD"/>
    <w:rsid w:val="00843BA6"/>
    <w:rsid w:val="0084449B"/>
    <w:rsid w:val="0084453C"/>
    <w:rsid w:val="0084477E"/>
    <w:rsid w:val="00844CFF"/>
    <w:rsid w:val="008451B0"/>
    <w:rsid w:val="0084546E"/>
    <w:rsid w:val="008456A9"/>
    <w:rsid w:val="008461C6"/>
    <w:rsid w:val="00846EA7"/>
    <w:rsid w:val="00847147"/>
    <w:rsid w:val="008477F2"/>
    <w:rsid w:val="0085050A"/>
    <w:rsid w:val="00850602"/>
    <w:rsid w:val="0085088E"/>
    <w:rsid w:val="00850A65"/>
    <w:rsid w:val="008524E8"/>
    <w:rsid w:val="0085255A"/>
    <w:rsid w:val="008539D7"/>
    <w:rsid w:val="00854449"/>
    <w:rsid w:val="008547ED"/>
    <w:rsid w:val="008548A0"/>
    <w:rsid w:val="008548A7"/>
    <w:rsid w:val="00854ACA"/>
    <w:rsid w:val="00854E99"/>
    <w:rsid w:val="00854F4C"/>
    <w:rsid w:val="00854F98"/>
    <w:rsid w:val="008557EB"/>
    <w:rsid w:val="00855D60"/>
    <w:rsid w:val="00855E52"/>
    <w:rsid w:val="0085642D"/>
    <w:rsid w:val="00856845"/>
    <w:rsid w:val="00856B78"/>
    <w:rsid w:val="0085725A"/>
    <w:rsid w:val="008572A8"/>
    <w:rsid w:val="008578C8"/>
    <w:rsid w:val="00857B35"/>
    <w:rsid w:val="00857F72"/>
    <w:rsid w:val="00860014"/>
    <w:rsid w:val="0086003E"/>
    <w:rsid w:val="00860196"/>
    <w:rsid w:val="0086019D"/>
    <w:rsid w:val="0086059C"/>
    <w:rsid w:val="008610B3"/>
    <w:rsid w:val="00861A43"/>
    <w:rsid w:val="00861B01"/>
    <w:rsid w:val="008621E1"/>
    <w:rsid w:val="00862211"/>
    <w:rsid w:val="00862E54"/>
    <w:rsid w:val="0086394F"/>
    <w:rsid w:val="00863BC6"/>
    <w:rsid w:val="00863ED5"/>
    <w:rsid w:val="008645AF"/>
    <w:rsid w:val="008649BD"/>
    <w:rsid w:val="00865CFA"/>
    <w:rsid w:val="00865D0B"/>
    <w:rsid w:val="00865E0D"/>
    <w:rsid w:val="00865EAE"/>
    <w:rsid w:val="00866605"/>
    <w:rsid w:val="00866F6A"/>
    <w:rsid w:val="00867277"/>
    <w:rsid w:val="00870516"/>
    <w:rsid w:val="00870D55"/>
    <w:rsid w:val="0087103B"/>
    <w:rsid w:val="00871405"/>
    <w:rsid w:val="00871408"/>
    <w:rsid w:val="0087154E"/>
    <w:rsid w:val="00871E6F"/>
    <w:rsid w:val="00872003"/>
    <w:rsid w:val="00872C12"/>
    <w:rsid w:val="00872CE9"/>
    <w:rsid w:val="008732D2"/>
    <w:rsid w:val="0087349B"/>
    <w:rsid w:val="00873AE1"/>
    <w:rsid w:val="00873BAD"/>
    <w:rsid w:val="00874CBA"/>
    <w:rsid w:val="00874D67"/>
    <w:rsid w:val="00875DFE"/>
    <w:rsid w:val="008761C3"/>
    <w:rsid w:val="0087663C"/>
    <w:rsid w:val="008768A9"/>
    <w:rsid w:val="0087694C"/>
    <w:rsid w:val="008772AB"/>
    <w:rsid w:val="0087777C"/>
    <w:rsid w:val="00880113"/>
    <w:rsid w:val="00880B32"/>
    <w:rsid w:val="0088124E"/>
    <w:rsid w:val="0088150F"/>
    <w:rsid w:val="0088182D"/>
    <w:rsid w:val="00881BAF"/>
    <w:rsid w:val="00882F8A"/>
    <w:rsid w:val="008836CB"/>
    <w:rsid w:val="00883914"/>
    <w:rsid w:val="008845AA"/>
    <w:rsid w:val="00884777"/>
    <w:rsid w:val="008847D1"/>
    <w:rsid w:val="00884D15"/>
    <w:rsid w:val="00884E1B"/>
    <w:rsid w:val="00885321"/>
    <w:rsid w:val="00885856"/>
    <w:rsid w:val="00886E57"/>
    <w:rsid w:val="008870B3"/>
    <w:rsid w:val="00887765"/>
    <w:rsid w:val="00887B5D"/>
    <w:rsid w:val="008900B6"/>
    <w:rsid w:val="00890397"/>
    <w:rsid w:val="008904B6"/>
    <w:rsid w:val="008905F6"/>
    <w:rsid w:val="008907FC"/>
    <w:rsid w:val="008908A0"/>
    <w:rsid w:val="00890AD7"/>
    <w:rsid w:val="00893172"/>
    <w:rsid w:val="0089319B"/>
    <w:rsid w:val="008931DD"/>
    <w:rsid w:val="008935A9"/>
    <w:rsid w:val="008936A6"/>
    <w:rsid w:val="00893C9F"/>
    <w:rsid w:val="00893EA7"/>
    <w:rsid w:val="008944C5"/>
    <w:rsid w:val="00894FC5"/>
    <w:rsid w:val="0089550E"/>
    <w:rsid w:val="00895A4F"/>
    <w:rsid w:val="00895E34"/>
    <w:rsid w:val="00895F99"/>
    <w:rsid w:val="008964CF"/>
    <w:rsid w:val="00896C3B"/>
    <w:rsid w:val="00897163"/>
    <w:rsid w:val="00897198"/>
    <w:rsid w:val="008975AF"/>
    <w:rsid w:val="00897B1C"/>
    <w:rsid w:val="00897D76"/>
    <w:rsid w:val="008A0993"/>
    <w:rsid w:val="008A0DEE"/>
    <w:rsid w:val="008A12A7"/>
    <w:rsid w:val="008A15A6"/>
    <w:rsid w:val="008A179F"/>
    <w:rsid w:val="008A17B1"/>
    <w:rsid w:val="008A23B4"/>
    <w:rsid w:val="008A29BE"/>
    <w:rsid w:val="008A2A41"/>
    <w:rsid w:val="008A2D03"/>
    <w:rsid w:val="008A2DF5"/>
    <w:rsid w:val="008A3540"/>
    <w:rsid w:val="008A36F5"/>
    <w:rsid w:val="008A3E2F"/>
    <w:rsid w:val="008A416F"/>
    <w:rsid w:val="008A48DF"/>
    <w:rsid w:val="008A4BFA"/>
    <w:rsid w:val="008A4ED9"/>
    <w:rsid w:val="008A4F8E"/>
    <w:rsid w:val="008A515E"/>
    <w:rsid w:val="008A5872"/>
    <w:rsid w:val="008A5927"/>
    <w:rsid w:val="008A5942"/>
    <w:rsid w:val="008A5C26"/>
    <w:rsid w:val="008A5C99"/>
    <w:rsid w:val="008A7BBC"/>
    <w:rsid w:val="008B00F8"/>
    <w:rsid w:val="008B01C2"/>
    <w:rsid w:val="008B02B0"/>
    <w:rsid w:val="008B0617"/>
    <w:rsid w:val="008B1818"/>
    <w:rsid w:val="008B23FE"/>
    <w:rsid w:val="008B2813"/>
    <w:rsid w:val="008B2B86"/>
    <w:rsid w:val="008B3253"/>
    <w:rsid w:val="008B3A5E"/>
    <w:rsid w:val="008B409E"/>
    <w:rsid w:val="008B498B"/>
    <w:rsid w:val="008B4AE0"/>
    <w:rsid w:val="008B4C21"/>
    <w:rsid w:val="008B4D03"/>
    <w:rsid w:val="008B5033"/>
    <w:rsid w:val="008B5ACA"/>
    <w:rsid w:val="008B64BE"/>
    <w:rsid w:val="008B6BAE"/>
    <w:rsid w:val="008B74DB"/>
    <w:rsid w:val="008B7766"/>
    <w:rsid w:val="008B7D04"/>
    <w:rsid w:val="008B7E52"/>
    <w:rsid w:val="008C0105"/>
    <w:rsid w:val="008C04EE"/>
    <w:rsid w:val="008C0BF7"/>
    <w:rsid w:val="008C0F40"/>
    <w:rsid w:val="008C0F4C"/>
    <w:rsid w:val="008C1379"/>
    <w:rsid w:val="008C14EB"/>
    <w:rsid w:val="008C1541"/>
    <w:rsid w:val="008C16F3"/>
    <w:rsid w:val="008C1DCB"/>
    <w:rsid w:val="008C1E36"/>
    <w:rsid w:val="008C29B5"/>
    <w:rsid w:val="008C2A78"/>
    <w:rsid w:val="008C2C79"/>
    <w:rsid w:val="008C2F9C"/>
    <w:rsid w:val="008C31E0"/>
    <w:rsid w:val="008C337E"/>
    <w:rsid w:val="008C34D1"/>
    <w:rsid w:val="008C35F2"/>
    <w:rsid w:val="008C3764"/>
    <w:rsid w:val="008C37B8"/>
    <w:rsid w:val="008C3848"/>
    <w:rsid w:val="008C39A5"/>
    <w:rsid w:val="008C3A22"/>
    <w:rsid w:val="008C49AA"/>
    <w:rsid w:val="008C4EFC"/>
    <w:rsid w:val="008C51FF"/>
    <w:rsid w:val="008C53A9"/>
    <w:rsid w:val="008C6569"/>
    <w:rsid w:val="008C67F1"/>
    <w:rsid w:val="008C68CF"/>
    <w:rsid w:val="008C6D6E"/>
    <w:rsid w:val="008C7334"/>
    <w:rsid w:val="008C741B"/>
    <w:rsid w:val="008C7965"/>
    <w:rsid w:val="008C7AC3"/>
    <w:rsid w:val="008D0384"/>
    <w:rsid w:val="008D0976"/>
    <w:rsid w:val="008D0FB8"/>
    <w:rsid w:val="008D1497"/>
    <w:rsid w:val="008D224C"/>
    <w:rsid w:val="008D2927"/>
    <w:rsid w:val="008D3171"/>
    <w:rsid w:val="008D37C7"/>
    <w:rsid w:val="008D39BD"/>
    <w:rsid w:val="008D3A05"/>
    <w:rsid w:val="008D3BC3"/>
    <w:rsid w:val="008D3CFF"/>
    <w:rsid w:val="008D438F"/>
    <w:rsid w:val="008D4479"/>
    <w:rsid w:val="008D45FC"/>
    <w:rsid w:val="008D47F1"/>
    <w:rsid w:val="008D5ACF"/>
    <w:rsid w:val="008D5BA8"/>
    <w:rsid w:val="008D63AF"/>
    <w:rsid w:val="008D673E"/>
    <w:rsid w:val="008D6A5A"/>
    <w:rsid w:val="008D6F67"/>
    <w:rsid w:val="008D7461"/>
    <w:rsid w:val="008D79F7"/>
    <w:rsid w:val="008D7BD8"/>
    <w:rsid w:val="008D7DB2"/>
    <w:rsid w:val="008E0036"/>
    <w:rsid w:val="008E007A"/>
    <w:rsid w:val="008E02B2"/>
    <w:rsid w:val="008E0343"/>
    <w:rsid w:val="008E058A"/>
    <w:rsid w:val="008E0BE6"/>
    <w:rsid w:val="008E0CB6"/>
    <w:rsid w:val="008E12BA"/>
    <w:rsid w:val="008E12FA"/>
    <w:rsid w:val="008E2220"/>
    <w:rsid w:val="008E2228"/>
    <w:rsid w:val="008E2359"/>
    <w:rsid w:val="008E268C"/>
    <w:rsid w:val="008E2E31"/>
    <w:rsid w:val="008E3B6A"/>
    <w:rsid w:val="008E3DB4"/>
    <w:rsid w:val="008E4B91"/>
    <w:rsid w:val="008E5756"/>
    <w:rsid w:val="008E58B2"/>
    <w:rsid w:val="008E5BC7"/>
    <w:rsid w:val="008E5BEE"/>
    <w:rsid w:val="008E6021"/>
    <w:rsid w:val="008E6367"/>
    <w:rsid w:val="008E6788"/>
    <w:rsid w:val="008E6C75"/>
    <w:rsid w:val="008E6D0C"/>
    <w:rsid w:val="008E6E7B"/>
    <w:rsid w:val="008E6EE6"/>
    <w:rsid w:val="008E6F5F"/>
    <w:rsid w:val="008E6FAB"/>
    <w:rsid w:val="008E701C"/>
    <w:rsid w:val="008E762C"/>
    <w:rsid w:val="008E7C12"/>
    <w:rsid w:val="008F01D7"/>
    <w:rsid w:val="008F0332"/>
    <w:rsid w:val="008F0B6F"/>
    <w:rsid w:val="008F0C0B"/>
    <w:rsid w:val="008F18F0"/>
    <w:rsid w:val="008F224C"/>
    <w:rsid w:val="008F24EA"/>
    <w:rsid w:val="008F265B"/>
    <w:rsid w:val="008F27C1"/>
    <w:rsid w:val="008F28A4"/>
    <w:rsid w:val="008F2C91"/>
    <w:rsid w:val="008F2F49"/>
    <w:rsid w:val="008F317A"/>
    <w:rsid w:val="008F3871"/>
    <w:rsid w:val="008F42E3"/>
    <w:rsid w:val="008F4839"/>
    <w:rsid w:val="008F4A09"/>
    <w:rsid w:val="008F4DD4"/>
    <w:rsid w:val="008F516E"/>
    <w:rsid w:val="008F5F8C"/>
    <w:rsid w:val="008F6027"/>
    <w:rsid w:val="008F622C"/>
    <w:rsid w:val="008F6513"/>
    <w:rsid w:val="008F6A39"/>
    <w:rsid w:val="008F6AA4"/>
    <w:rsid w:val="008F7351"/>
    <w:rsid w:val="008F75CA"/>
    <w:rsid w:val="008F76C2"/>
    <w:rsid w:val="008F7980"/>
    <w:rsid w:val="008F7A92"/>
    <w:rsid w:val="008F7B58"/>
    <w:rsid w:val="00900160"/>
    <w:rsid w:val="00901471"/>
    <w:rsid w:val="0090184A"/>
    <w:rsid w:val="009019F6"/>
    <w:rsid w:val="00901F96"/>
    <w:rsid w:val="0090229C"/>
    <w:rsid w:val="00902F47"/>
    <w:rsid w:val="009033FE"/>
    <w:rsid w:val="00903432"/>
    <w:rsid w:val="00903DDB"/>
    <w:rsid w:val="0090407A"/>
    <w:rsid w:val="009047D9"/>
    <w:rsid w:val="00904C0C"/>
    <w:rsid w:val="009054E8"/>
    <w:rsid w:val="0090569A"/>
    <w:rsid w:val="00905888"/>
    <w:rsid w:val="00905974"/>
    <w:rsid w:val="00905B39"/>
    <w:rsid w:val="00905D75"/>
    <w:rsid w:val="00905E33"/>
    <w:rsid w:val="00905E7E"/>
    <w:rsid w:val="009062B2"/>
    <w:rsid w:val="00906663"/>
    <w:rsid w:val="00906B54"/>
    <w:rsid w:val="00907119"/>
    <w:rsid w:val="00907296"/>
    <w:rsid w:val="009079C6"/>
    <w:rsid w:val="0091043D"/>
    <w:rsid w:val="009113AA"/>
    <w:rsid w:val="0091195E"/>
    <w:rsid w:val="00911A2F"/>
    <w:rsid w:val="00911C4A"/>
    <w:rsid w:val="009121C4"/>
    <w:rsid w:val="0091262B"/>
    <w:rsid w:val="0091279D"/>
    <w:rsid w:val="00912FE8"/>
    <w:rsid w:val="0091395A"/>
    <w:rsid w:val="00913CF7"/>
    <w:rsid w:val="009147EC"/>
    <w:rsid w:val="00915219"/>
    <w:rsid w:val="00915460"/>
    <w:rsid w:val="00915463"/>
    <w:rsid w:val="009154FC"/>
    <w:rsid w:val="00915663"/>
    <w:rsid w:val="009156AA"/>
    <w:rsid w:val="00915B48"/>
    <w:rsid w:val="00915D07"/>
    <w:rsid w:val="009168CB"/>
    <w:rsid w:val="009169DB"/>
    <w:rsid w:val="00916CA4"/>
    <w:rsid w:val="009174AE"/>
    <w:rsid w:val="00917636"/>
    <w:rsid w:val="0091782D"/>
    <w:rsid w:val="0091787A"/>
    <w:rsid w:val="00917913"/>
    <w:rsid w:val="00920303"/>
    <w:rsid w:val="00920580"/>
    <w:rsid w:val="009205BE"/>
    <w:rsid w:val="0092083E"/>
    <w:rsid w:val="00920A26"/>
    <w:rsid w:val="009218BA"/>
    <w:rsid w:val="00922204"/>
    <w:rsid w:val="009222DB"/>
    <w:rsid w:val="0092234D"/>
    <w:rsid w:val="009223E0"/>
    <w:rsid w:val="0092285B"/>
    <w:rsid w:val="009232CF"/>
    <w:rsid w:val="00923A08"/>
    <w:rsid w:val="00924A8E"/>
    <w:rsid w:val="0092525C"/>
    <w:rsid w:val="00925271"/>
    <w:rsid w:val="00925568"/>
    <w:rsid w:val="0092585C"/>
    <w:rsid w:val="00925B94"/>
    <w:rsid w:val="00925F1C"/>
    <w:rsid w:val="00926183"/>
    <w:rsid w:val="009268B8"/>
    <w:rsid w:val="00926A24"/>
    <w:rsid w:val="00926E43"/>
    <w:rsid w:val="00926FA9"/>
    <w:rsid w:val="00927356"/>
    <w:rsid w:val="00927E3C"/>
    <w:rsid w:val="00927F45"/>
    <w:rsid w:val="00930110"/>
    <w:rsid w:val="0093019E"/>
    <w:rsid w:val="009301B5"/>
    <w:rsid w:val="00930E6D"/>
    <w:rsid w:val="009310A4"/>
    <w:rsid w:val="009311F9"/>
    <w:rsid w:val="00931821"/>
    <w:rsid w:val="009318C6"/>
    <w:rsid w:val="00931CA6"/>
    <w:rsid w:val="00932115"/>
    <w:rsid w:val="00932884"/>
    <w:rsid w:val="009329A0"/>
    <w:rsid w:val="00932EFB"/>
    <w:rsid w:val="00933107"/>
    <w:rsid w:val="0093387D"/>
    <w:rsid w:val="0093387F"/>
    <w:rsid w:val="00933D7D"/>
    <w:rsid w:val="00933F87"/>
    <w:rsid w:val="00934061"/>
    <w:rsid w:val="00934436"/>
    <w:rsid w:val="0093462C"/>
    <w:rsid w:val="00934B25"/>
    <w:rsid w:val="00934FF6"/>
    <w:rsid w:val="009354EC"/>
    <w:rsid w:val="009360FD"/>
    <w:rsid w:val="00936132"/>
    <w:rsid w:val="009367AD"/>
    <w:rsid w:val="00936822"/>
    <w:rsid w:val="00936D3C"/>
    <w:rsid w:val="00936D86"/>
    <w:rsid w:val="00936F49"/>
    <w:rsid w:val="00937352"/>
    <w:rsid w:val="00940449"/>
    <w:rsid w:val="00940802"/>
    <w:rsid w:val="00940D41"/>
    <w:rsid w:val="00940FB2"/>
    <w:rsid w:val="00941203"/>
    <w:rsid w:val="009412C6"/>
    <w:rsid w:val="009412F5"/>
    <w:rsid w:val="00941666"/>
    <w:rsid w:val="00941B08"/>
    <w:rsid w:val="00941BF5"/>
    <w:rsid w:val="00941CFB"/>
    <w:rsid w:val="00941D04"/>
    <w:rsid w:val="00941EAD"/>
    <w:rsid w:val="00942901"/>
    <w:rsid w:val="00943673"/>
    <w:rsid w:val="009437EA"/>
    <w:rsid w:val="00944002"/>
    <w:rsid w:val="00944079"/>
    <w:rsid w:val="0094407A"/>
    <w:rsid w:val="00944200"/>
    <w:rsid w:val="009442C1"/>
    <w:rsid w:val="0094447F"/>
    <w:rsid w:val="0094487A"/>
    <w:rsid w:val="00944AC0"/>
    <w:rsid w:val="00944AE6"/>
    <w:rsid w:val="00944BD3"/>
    <w:rsid w:val="00945826"/>
    <w:rsid w:val="00945B93"/>
    <w:rsid w:val="00945DA7"/>
    <w:rsid w:val="00946408"/>
    <w:rsid w:val="009464BA"/>
    <w:rsid w:val="0094660C"/>
    <w:rsid w:val="00946911"/>
    <w:rsid w:val="00946A88"/>
    <w:rsid w:val="00947852"/>
    <w:rsid w:val="0095040B"/>
    <w:rsid w:val="0095042C"/>
    <w:rsid w:val="0095068C"/>
    <w:rsid w:val="00950B39"/>
    <w:rsid w:val="00951437"/>
    <w:rsid w:val="009518FF"/>
    <w:rsid w:val="00951A38"/>
    <w:rsid w:val="00951E04"/>
    <w:rsid w:val="00951EB7"/>
    <w:rsid w:val="009524C5"/>
    <w:rsid w:val="00952D5D"/>
    <w:rsid w:val="00952E80"/>
    <w:rsid w:val="009531AC"/>
    <w:rsid w:val="009534DA"/>
    <w:rsid w:val="009538A7"/>
    <w:rsid w:val="00953985"/>
    <w:rsid w:val="009539FB"/>
    <w:rsid w:val="00953B56"/>
    <w:rsid w:val="00954046"/>
    <w:rsid w:val="00954110"/>
    <w:rsid w:val="00954898"/>
    <w:rsid w:val="00954FE3"/>
    <w:rsid w:val="009553BC"/>
    <w:rsid w:val="00955A03"/>
    <w:rsid w:val="00955FC1"/>
    <w:rsid w:val="00956065"/>
    <w:rsid w:val="00956177"/>
    <w:rsid w:val="00956382"/>
    <w:rsid w:val="00956DF6"/>
    <w:rsid w:val="00956FCF"/>
    <w:rsid w:val="009577D2"/>
    <w:rsid w:val="00957B95"/>
    <w:rsid w:val="00960311"/>
    <w:rsid w:val="009605C0"/>
    <w:rsid w:val="00960675"/>
    <w:rsid w:val="00960A97"/>
    <w:rsid w:val="00960CF5"/>
    <w:rsid w:val="00960FB0"/>
    <w:rsid w:val="009611D8"/>
    <w:rsid w:val="0096136E"/>
    <w:rsid w:val="00961436"/>
    <w:rsid w:val="00961650"/>
    <w:rsid w:val="00961A48"/>
    <w:rsid w:val="00961C86"/>
    <w:rsid w:val="00961DFF"/>
    <w:rsid w:val="009623EC"/>
    <w:rsid w:val="00962BE1"/>
    <w:rsid w:val="00962D5E"/>
    <w:rsid w:val="00962ED0"/>
    <w:rsid w:val="0096344B"/>
    <w:rsid w:val="00963753"/>
    <w:rsid w:val="009639ED"/>
    <w:rsid w:val="00963D52"/>
    <w:rsid w:val="00964917"/>
    <w:rsid w:val="00965F84"/>
    <w:rsid w:val="009660A4"/>
    <w:rsid w:val="00966880"/>
    <w:rsid w:val="00966A67"/>
    <w:rsid w:val="00966A95"/>
    <w:rsid w:val="00966FB2"/>
    <w:rsid w:val="00967702"/>
    <w:rsid w:val="00970458"/>
    <w:rsid w:val="009704B2"/>
    <w:rsid w:val="009707DB"/>
    <w:rsid w:val="00970A95"/>
    <w:rsid w:val="00970B8B"/>
    <w:rsid w:val="00970D75"/>
    <w:rsid w:val="009710EB"/>
    <w:rsid w:val="009713AC"/>
    <w:rsid w:val="00971AA4"/>
    <w:rsid w:val="00971B02"/>
    <w:rsid w:val="00971BA2"/>
    <w:rsid w:val="00972C9A"/>
    <w:rsid w:val="00972D12"/>
    <w:rsid w:val="00973035"/>
    <w:rsid w:val="0097360A"/>
    <w:rsid w:val="009742E6"/>
    <w:rsid w:val="00974303"/>
    <w:rsid w:val="0097452D"/>
    <w:rsid w:val="00974984"/>
    <w:rsid w:val="00975210"/>
    <w:rsid w:val="00975B96"/>
    <w:rsid w:val="009764D3"/>
    <w:rsid w:val="009772D7"/>
    <w:rsid w:val="00977792"/>
    <w:rsid w:val="00980037"/>
    <w:rsid w:val="009805E6"/>
    <w:rsid w:val="00981380"/>
    <w:rsid w:val="009815D1"/>
    <w:rsid w:val="0098183E"/>
    <w:rsid w:val="00981B94"/>
    <w:rsid w:val="00981BB9"/>
    <w:rsid w:val="00982925"/>
    <w:rsid w:val="00982B14"/>
    <w:rsid w:val="00982E51"/>
    <w:rsid w:val="00983702"/>
    <w:rsid w:val="00983D43"/>
    <w:rsid w:val="00983EEE"/>
    <w:rsid w:val="0098400A"/>
    <w:rsid w:val="00984512"/>
    <w:rsid w:val="0098468B"/>
    <w:rsid w:val="00984D5A"/>
    <w:rsid w:val="00985874"/>
    <w:rsid w:val="00986058"/>
    <w:rsid w:val="0098660D"/>
    <w:rsid w:val="00986888"/>
    <w:rsid w:val="009868E0"/>
    <w:rsid w:val="0098763C"/>
    <w:rsid w:val="0098781E"/>
    <w:rsid w:val="00987DDF"/>
    <w:rsid w:val="00990395"/>
    <w:rsid w:val="009903FC"/>
    <w:rsid w:val="00990D8D"/>
    <w:rsid w:val="009913F4"/>
    <w:rsid w:val="009914B5"/>
    <w:rsid w:val="009919B4"/>
    <w:rsid w:val="00991A7D"/>
    <w:rsid w:val="00991DED"/>
    <w:rsid w:val="00992049"/>
    <w:rsid w:val="0099246F"/>
    <w:rsid w:val="009924DE"/>
    <w:rsid w:val="00992D05"/>
    <w:rsid w:val="00992D3F"/>
    <w:rsid w:val="00993105"/>
    <w:rsid w:val="00993919"/>
    <w:rsid w:val="00993BBD"/>
    <w:rsid w:val="00993EA1"/>
    <w:rsid w:val="0099429C"/>
    <w:rsid w:val="009948D2"/>
    <w:rsid w:val="00994ED9"/>
    <w:rsid w:val="00995322"/>
    <w:rsid w:val="009953D0"/>
    <w:rsid w:val="00995471"/>
    <w:rsid w:val="00995A18"/>
    <w:rsid w:val="00995C3A"/>
    <w:rsid w:val="00996190"/>
    <w:rsid w:val="0099649A"/>
    <w:rsid w:val="00996F74"/>
    <w:rsid w:val="009974D6"/>
    <w:rsid w:val="00997822"/>
    <w:rsid w:val="00997EC7"/>
    <w:rsid w:val="009A0178"/>
    <w:rsid w:val="009A0F96"/>
    <w:rsid w:val="009A10C0"/>
    <w:rsid w:val="009A10D8"/>
    <w:rsid w:val="009A12ED"/>
    <w:rsid w:val="009A1393"/>
    <w:rsid w:val="009A1A07"/>
    <w:rsid w:val="009A1B8E"/>
    <w:rsid w:val="009A20CF"/>
    <w:rsid w:val="009A2353"/>
    <w:rsid w:val="009A278C"/>
    <w:rsid w:val="009A30A6"/>
    <w:rsid w:val="009A31FC"/>
    <w:rsid w:val="009A3317"/>
    <w:rsid w:val="009A337A"/>
    <w:rsid w:val="009A3704"/>
    <w:rsid w:val="009A3D28"/>
    <w:rsid w:val="009A3E54"/>
    <w:rsid w:val="009A40BD"/>
    <w:rsid w:val="009A431E"/>
    <w:rsid w:val="009A4F40"/>
    <w:rsid w:val="009A5041"/>
    <w:rsid w:val="009A538F"/>
    <w:rsid w:val="009A54FC"/>
    <w:rsid w:val="009A64D7"/>
    <w:rsid w:val="009A6D5B"/>
    <w:rsid w:val="009A7DCA"/>
    <w:rsid w:val="009B0335"/>
    <w:rsid w:val="009B0835"/>
    <w:rsid w:val="009B0FF9"/>
    <w:rsid w:val="009B187E"/>
    <w:rsid w:val="009B1B56"/>
    <w:rsid w:val="009B1D8E"/>
    <w:rsid w:val="009B238B"/>
    <w:rsid w:val="009B287A"/>
    <w:rsid w:val="009B2CD8"/>
    <w:rsid w:val="009B351A"/>
    <w:rsid w:val="009B39B5"/>
    <w:rsid w:val="009B3A03"/>
    <w:rsid w:val="009B3B9B"/>
    <w:rsid w:val="009B3BA2"/>
    <w:rsid w:val="009B3E45"/>
    <w:rsid w:val="009B42D3"/>
    <w:rsid w:val="009B43C2"/>
    <w:rsid w:val="009B48A3"/>
    <w:rsid w:val="009B534D"/>
    <w:rsid w:val="009B5642"/>
    <w:rsid w:val="009B5B6A"/>
    <w:rsid w:val="009B5D02"/>
    <w:rsid w:val="009B5D2C"/>
    <w:rsid w:val="009B5F28"/>
    <w:rsid w:val="009B6B15"/>
    <w:rsid w:val="009B77AE"/>
    <w:rsid w:val="009B7E65"/>
    <w:rsid w:val="009C0AE6"/>
    <w:rsid w:val="009C0CCC"/>
    <w:rsid w:val="009C0F0F"/>
    <w:rsid w:val="009C1A1F"/>
    <w:rsid w:val="009C1A5D"/>
    <w:rsid w:val="009C2A57"/>
    <w:rsid w:val="009C3C5E"/>
    <w:rsid w:val="009C3F07"/>
    <w:rsid w:val="009C4B1F"/>
    <w:rsid w:val="009C5A53"/>
    <w:rsid w:val="009C5ACA"/>
    <w:rsid w:val="009C61E3"/>
    <w:rsid w:val="009C6467"/>
    <w:rsid w:val="009C68B5"/>
    <w:rsid w:val="009C6EE3"/>
    <w:rsid w:val="009C75AE"/>
    <w:rsid w:val="009C790A"/>
    <w:rsid w:val="009C794C"/>
    <w:rsid w:val="009C7A67"/>
    <w:rsid w:val="009D0549"/>
    <w:rsid w:val="009D0E86"/>
    <w:rsid w:val="009D1C13"/>
    <w:rsid w:val="009D2125"/>
    <w:rsid w:val="009D2383"/>
    <w:rsid w:val="009D24D1"/>
    <w:rsid w:val="009D3488"/>
    <w:rsid w:val="009D3D9A"/>
    <w:rsid w:val="009D4140"/>
    <w:rsid w:val="009D416B"/>
    <w:rsid w:val="009D41C8"/>
    <w:rsid w:val="009D4313"/>
    <w:rsid w:val="009D4408"/>
    <w:rsid w:val="009D443C"/>
    <w:rsid w:val="009D4763"/>
    <w:rsid w:val="009D4BFA"/>
    <w:rsid w:val="009D50A2"/>
    <w:rsid w:val="009D5392"/>
    <w:rsid w:val="009D5417"/>
    <w:rsid w:val="009D5524"/>
    <w:rsid w:val="009D58EF"/>
    <w:rsid w:val="009D5D7D"/>
    <w:rsid w:val="009D64ED"/>
    <w:rsid w:val="009D664F"/>
    <w:rsid w:val="009D69F8"/>
    <w:rsid w:val="009D6CDC"/>
    <w:rsid w:val="009D6E22"/>
    <w:rsid w:val="009D7DDB"/>
    <w:rsid w:val="009E00B3"/>
    <w:rsid w:val="009E159E"/>
    <w:rsid w:val="009E1636"/>
    <w:rsid w:val="009E1B53"/>
    <w:rsid w:val="009E1B84"/>
    <w:rsid w:val="009E1C14"/>
    <w:rsid w:val="009E1D52"/>
    <w:rsid w:val="009E2866"/>
    <w:rsid w:val="009E2B22"/>
    <w:rsid w:val="009E2EF9"/>
    <w:rsid w:val="009E373A"/>
    <w:rsid w:val="009E3CD1"/>
    <w:rsid w:val="009E3E03"/>
    <w:rsid w:val="009E46EA"/>
    <w:rsid w:val="009E47DC"/>
    <w:rsid w:val="009E4D85"/>
    <w:rsid w:val="009E4F1A"/>
    <w:rsid w:val="009E4F62"/>
    <w:rsid w:val="009E53C0"/>
    <w:rsid w:val="009E5588"/>
    <w:rsid w:val="009E5678"/>
    <w:rsid w:val="009E5BA5"/>
    <w:rsid w:val="009E5FFB"/>
    <w:rsid w:val="009E6276"/>
    <w:rsid w:val="009E6299"/>
    <w:rsid w:val="009E62B7"/>
    <w:rsid w:val="009E6514"/>
    <w:rsid w:val="009E656C"/>
    <w:rsid w:val="009E665A"/>
    <w:rsid w:val="009E72BE"/>
    <w:rsid w:val="009E73AF"/>
    <w:rsid w:val="009E74A0"/>
    <w:rsid w:val="009E7A79"/>
    <w:rsid w:val="009E7ED6"/>
    <w:rsid w:val="009F0C92"/>
    <w:rsid w:val="009F0DB3"/>
    <w:rsid w:val="009F1874"/>
    <w:rsid w:val="009F24A6"/>
    <w:rsid w:val="009F2541"/>
    <w:rsid w:val="009F266A"/>
    <w:rsid w:val="009F29BC"/>
    <w:rsid w:val="009F2EEB"/>
    <w:rsid w:val="009F32DA"/>
    <w:rsid w:val="009F3540"/>
    <w:rsid w:val="009F3C03"/>
    <w:rsid w:val="009F3DFB"/>
    <w:rsid w:val="009F431A"/>
    <w:rsid w:val="009F432C"/>
    <w:rsid w:val="009F4337"/>
    <w:rsid w:val="009F4723"/>
    <w:rsid w:val="009F4EF1"/>
    <w:rsid w:val="009F5151"/>
    <w:rsid w:val="009F5263"/>
    <w:rsid w:val="009F544F"/>
    <w:rsid w:val="009F54F4"/>
    <w:rsid w:val="009F57E4"/>
    <w:rsid w:val="009F5D24"/>
    <w:rsid w:val="009F6984"/>
    <w:rsid w:val="009F70D2"/>
    <w:rsid w:val="009F71E0"/>
    <w:rsid w:val="009F782F"/>
    <w:rsid w:val="009F7A2E"/>
    <w:rsid w:val="009F7FF9"/>
    <w:rsid w:val="00A000D6"/>
    <w:rsid w:val="00A00B52"/>
    <w:rsid w:val="00A00D7F"/>
    <w:rsid w:val="00A00EFE"/>
    <w:rsid w:val="00A01335"/>
    <w:rsid w:val="00A0148C"/>
    <w:rsid w:val="00A015A8"/>
    <w:rsid w:val="00A01803"/>
    <w:rsid w:val="00A01CC8"/>
    <w:rsid w:val="00A0223C"/>
    <w:rsid w:val="00A0235D"/>
    <w:rsid w:val="00A024A9"/>
    <w:rsid w:val="00A028DD"/>
    <w:rsid w:val="00A0293C"/>
    <w:rsid w:val="00A02B0C"/>
    <w:rsid w:val="00A03B2B"/>
    <w:rsid w:val="00A03F4D"/>
    <w:rsid w:val="00A0401A"/>
    <w:rsid w:val="00A042CD"/>
    <w:rsid w:val="00A0470B"/>
    <w:rsid w:val="00A049EA"/>
    <w:rsid w:val="00A051C4"/>
    <w:rsid w:val="00A051EC"/>
    <w:rsid w:val="00A05879"/>
    <w:rsid w:val="00A05A25"/>
    <w:rsid w:val="00A05B09"/>
    <w:rsid w:val="00A05B10"/>
    <w:rsid w:val="00A06A89"/>
    <w:rsid w:val="00A06D7F"/>
    <w:rsid w:val="00A06DEA"/>
    <w:rsid w:val="00A06F0D"/>
    <w:rsid w:val="00A078E9"/>
    <w:rsid w:val="00A07ABB"/>
    <w:rsid w:val="00A07F25"/>
    <w:rsid w:val="00A10044"/>
    <w:rsid w:val="00A103DC"/>
    <w:rsid w:val="00A105F3"/>
    <w:rsid w:val="00A14953"/>
    <w:rsid w:val="00A14A44"/>
    <w:rsid w:val="00A14B91"/>
    <w:rsid w:val="00A14D17"/>
    <w:rsid w:val="00A15028"/>
    <w:rsid w:val="00A15233"/>
    <w:rsid w:val="00A15674"/>
    <w:rsid w:val="00A16C14"/>
    <w:rsid w:val="00A176FE"/>
    <w:rsid w:val="00A179C6"/>
    <w:rsid w:val="00A17CCC"/>
    <w:rsid w:val="00A20252"/>
    <w:rsid w:val="00A20591"/>
    <w:rsid w:val="00A20C8B"/>
    <w:rsid w:val="00A20EBF"/>
    <w:rsid w:val="00A2217F"/>
    <w:rsid w:val="00A225B0"/>
    <w:rsid w:val="00A229D0"/>
    <w:rsid w:val="00A22B01"/>
    <w:rsid w:val="00A22E30"/>
    <w:rsid w:val="00A22EFB"/>
    <w:rsid w:val="00A238B9"/>
    <w:rsid w:val="00A23962"/>
    <w:rsid w:val="00A23FFD"/>
    <w:rsid w:val="00A243A8"/>
    <w:rsid w:val="00A243F1"/>
    <w:rsid w:val="00A24BB2"/>
    <w:rsid w:val="00A25310"/>
    <w:rsid w:val="00A2531B"/>
    <w:rsid w:val="00A253C8"/>
    <w:rsid w:val="00A26068"/>
    <w:rsid w:val="00A2617F"/>
    <w:rsid w:val="00A26928"/>
    <w:rsid w:val="00A26938"/>
    <w:rsid w:val="00A26A55"/>
    <w:rsid w:val="00A26B26"/>
    <w:rsid w:val="00A26B2D"/>
    <w:rsid w:val="00A27C3A"/>
    <w:rsid w:val="00A27DE0"/>
    <w:rsid w:val="00A30180"/>
    <w:rsid w:val="00A31108"/>
    <w:rsid w:val="00A316E5"/>
    <w:rsid w:val="00A31E29"/>
    <w:rsid w:val="00A33D2A"/>
    <w:rsid w:val="00A33DE9"/>
    <w:rsid w:val="00A34440"/>
    <w:rsid w:val="00A34EE8"/>
    <w:rsid w:val="00A35102"/>
    <w:rsid w:val="00A353D6"/>
    <w:rsid w:val="00A3599F"/>
    <w:rsid w:val="00A368DF"/>
    <w:rsid w:val="00A36984"/>
    <w:rsid w:val="00A369D7"/>
    <w:rsid w:val="00A37690"/>
    <w:rsid w:val="00A37BCC"/>
    <w:rsid w:val="00A37BDD"/>
    <w:rsid w:val="00A37CA2"/>
    <w:rsid w:val="00A37CC1"/>
    <w:rsid w:val="00A37F2E"/>
    <w:rsid w:val="00A40775"/>
    <w:rsid w:val="00A40BB5"/>
    <w:rsid w:val="00A40F6B"/>
    <w:rsid w:val="00A40FE6"/>
    <w:rsid w:val="00A4154D"/>
    <w:rsid w:val="00A41BC1"/>
    <w:rsid w:val="00A41E88"/>
    <w:rsid w:val="00A425E9"/>
    <w:rsid w:val="00A42D1C"/>
    <w:rsid w:val="00A433B0"/>
    <w:rsid w:val="00A43616"/>
    <w:rsid w:val="00A4394B"/>
    <w:rsid w:val="00A43F85"/>
    <w:rsid w:val="00A44021"/>
    <w:rsid w:val="00A448C1"/>
    <w:rsid w:val="00A44A54"/>
    <w:rsid w:val="00A44E63"/>
    <w:rsid w:val="00A44F53"/>
    <w:rsid w:val="00A50147"/>
    <w:rsid w:val="00A501A2"/>
    <w:rsid w:val="00A50537"/>
    <w:rsid w:val="00A50791"/>
    <w:rsid w:val="00A508DE"/>
    <w:rsid w:val="00A50AE3"/>
    <w:rsid w:val="00A526D4"/>
    <w:rsid w:val="00A52D81"/>
    <w:rsid w:val="00A52EB9"/>
    <w:rsid w:val="00A531F6"/>
    <w:rsid w:val="00A532A5"/>
    <w:rsid w:val="00A5330B"/>
    <w:rsid w:val="00A5393A"/>
    <w:rsid w:val="00A53AE1"/>
    <w:rsid w:val="00A53B32"/>
    <w:rsid w:val="00A541A6"/>
    <w:rsid w:val="00A541BB"/>
    <w:rsid w:val="00A54957"/>
    <w:rsid w:val="00A54C66"/>
    <w:rsid w:val="00A552B9"/>
    <w:rsid w:val="00A5546A"/>
    <w:rsid w:val="00A55668"/>
    <w:rsid w:val="00A55C17"/>
    <w:rsid w:val="00A55FA8"/>
    <w:rsid w:val="00A5677B"/>
    <w:rsid w:val="00A56949"/>
    <w:rsid w:val="00A56A08"/>
    <w:rsid w:val="00A57357"/>
    <w:rsid w:val="00A57751"/>
    <w:rsid w:val="00A578CF"/>
    <w:rsid w:val="00A579A9"/>
    <w:rsid w:val="00A57A57"/>
    <w:rsid w:val="00A57C4A"/>
    <w:rsid w:val="00A6069C"/>
    <w:rsid w:val="00A60F75"/>
    <w:rsid w:val="00A6204E"/>
    <w:rsid w:val="00A6223C"/>
    <w:rsid w:val="00A623C7"/>
    <w:rsid w:val="00A6240A"/>
    <w:rsid w:val="00A625F5"/>
    <w:rsid w:val="00A626B7"/>
    <w:rsid w:val="00A62CB1"/>
    <w:rsid w:val="00A6352F"/>
    <w:rsid w:val="00A636F5"/>
    <w:rsid w:val="00A637AD"/>
    <w:rsid w:val="00A638DD"/>
    <w:rsid w:val="00A64900"/>
    <w:rsid w:val="00A65281"/>
    <w:rsid w:val="00A659EE"/>
    <w:rsid w:val="00A65DD3"/>
    <w:rsid w:val="00A65DE5"/>
    <w:rsid w:val="00A66153"/>
    <w:rsid w:val="00A661C5"/>
    <w:rsid w:val="00A66248"/>
    <w:rsid w:val="00A66485"/>
    <w:rsid w:val="00A66C7F"/>
    <w:rsid w:val="00A66DA6"/>
    <w:rsid w:val="00A671CD"/>
    <w:rsid w:val="00A676F7"/>
    <w:rsid w:val="00A67B81"/>
    <w:rsid w:val="00A67D53"/>
    <w:rsid w:val="00A700B6"/>
    <w:rsid w:val="00A7035F"/>
    <w:rsid w:val="00A70719"/>
    <w:rsid w:val="00A70729"/>
    <w:rsid w:val="00A7135E"/>
    <w:rsid w:val="00A71373"/>
    <w:rsid w:val="00A71380"/>
    <w:rsid w:val="00A71435"/>
    <w:rsid w:val="00A71444"/>
    <w:rsid w:val="00A71749"/>
    <w:rsid w:val="00A71B04"/>
    <w:rsid w:val="00A71B86"/>
    <w:rsid w:val="00A71F93"/>
    <w:rsid w:val="00A724C4"/>
    <w:rsid w:val="00A72CDD"/>
    <w:rsid w:val="00A72E38"/>
    <w:rsid w:val="00A72F20"/>
    <w:rsid w:val="00A733E7"/>
    <w:rsid w:val="00A73C3E"/>
    <w:rsid w:val="00A74654"/>
    <w:rsid w:val="00A74783"/>
    <w:rsid w:val="00A74944"/>
    <w:rsid w:val="00A7494A"/>
    <w:rsid w:val="00A74C3F"/>
    <w:rsid w:val="00A75281"/>
    <w:rsid w:val="00A76CD8"/>
    <w:rsid w:val="00A77EE4"/>
    <w:rsid w:val="00A77F2A"/>
    <w:rsid w:val="00A8059A"/>
    <w:rsid w:val="00A8087B"/>
    <w:rsid w:val="00A80B9B"/>
    <w:rsid w:val="00A80CBB"/>
    <w:rsid w:val="00A80F45"/>
    <w:rsid w:val="00A819AB"/>
    <w:rsid w:val="00A81AAA"/>
    <w:rsid w:val="00A81AB5"/>
    <w:rsid w:val="00A821AC"/>
    <w:rsid w:val="00A827A0"/>
    <w:rsid w:val="00A827FB"/>
    <w:rsid w:val="00A82C44"/>
    <w:rsid w:val="00A8361D"/>
    <w:rsid w:val="00A83997"/>
    <w:rsid w:val="00A83B42"/>
    <w:rsid w:val="00A83C91"/>
    <w:rsid w:val="00A83FEE"/>
    <w:rsid w:val="00A848E5"/>
    <w:rsid w:val="00A84AFD"/>
    <w:rsid w:val="00A8547D"/>
    <w:rsid w:val="00A85599"/>
    <w:rsid w:val="00A856E7"/>
    <w:rsid w:val="00A85830"/>
    <w:rsid w:val="00A863C8"/>
    <w:rsid w:val="00A877E1"/>
    <w:rsid w:val="00A878B0"/>
    <w:rsid w:val="00A87D6A"/>
    <w:rsid w:val="00A87E4B"/>
    <w:rsid w:val="00A87FAB"/>
    <w:rsid w:val="00A900FD"/>
    <w:rsid w:val="00A9054B"/>
    <w:rsid w:val="00A90B2F"/>
    <w:rsid w:val="00A91141"/>
    <w:rsid w:val="00A9191B"/>
    <w:rsid w:val="00A91EA4"/>
    <w:rsid w:val="00A92BED"/>
    <w:rsid w:val="00A92C12"/>
    <w:rsid w:val="00A9303F"/>
    <w:rsid w:val="00A932A5"/>
    <w:rsid w:val="00A933FA"/>
    <w:rsid w:val="00A935D2"/>
    <w:rsid w:val="00A93B01"/>
    <w:rsid w:val="00A93BEB"/>
    <w:rsid w:val="00A93C48"/>
    <w:rsid w:val="00A941E3"/>
    <w:rsid w:val="00A9480C"/>
    <w:rsid w:val="00A94A4E"/>
    <w:rsid w:val="00A94C61"/>
    <w:rsid w:val="00A94CBD"/>
    <w:rsid w:val="00A94F5B"/>
    <w:rsid w:val="00A957B5"/>
    <w:rsid w:val="00A958A5"/>
    <w:rsid w:val="00A95F1F"/>
    <w:rsid w:val="00A963A0"/>
    <w:rsid w:val="00A965C9"/>
    <w:rsid w:val="00A96817"/>
    <w:rsid w:val="00A96F84"/>
    <w:rsid w:val="00A974E0"/>
    <w:rsid w:val="00AA0141"/>
    <w:rsid w:val="00AA09EF"/>
    <w:rsid w:val="00AA1480"/>
    <w:rsid w:val="00AA190A"/>
    <w:rsid w:val="00AA2586"/>
    <w:rsid w:val="00AA265A"/>
    <w:rsid w:val="00AA28AC"/>
    <w:rsid w:val="00AA2A62"/>
    <w:rsid w:val="00AA2C40"/>
    <w:rsid w:val="00AA2EEA"/>
    <w:rsid w:val="00AA2F10"/>
    <w:rsid w:val="00AA3D71"/>
    <w:rsid w:val="00AA3EEC"/>
    <w:rsid w:val="00AA3FDB"/>
    <w:rsid w:val="00AA4336"/>
    <w:rsid w:val="00AA49FE"/>
    <w:rsid w:val="00AA53A1"/>
    <w:rsid w:val="00AA55D3"/>
    <w:rsid w:val="00AA5628"/>
    <w:rsid w:val="00AA5767"/>
    <w:rsid w:val="00AA5838"/>
    <w:rsid w:val="00AA5A48"/>
    <w:rsid w:val="00AA6586"/>
    <w:rsid w:val="00AA6CBC"/>
    <w:rsid w:val="00AA75FE"/>
    <w:rsid w:val="00AA7834"/>
    <w:rsid w:val="00AA7C79"/>
    <w:rsid w:val="00AB0174"/>
    <w:rsid w:val="00AB0189"/>
    <w:rsid w:val="00AB0AF3"/>
    <w:rsid w:val="00AB1835"/>
    <w:rsid w:val="00AB1D4E"/>
    <w:rsid w:val="00AB1F35"/>
    <w:rsid w:val="00AB2293"/>
    <w:rsid w:val="00AB2624"/>
    <w:rsid w:val="00AB2A8B"/>
    <w:rsid w:val="00AB2FB0"/>
    <w:rsid w:val="00AB3589"/>
    <w:rsid w:val="00AB3E79"/>
    <w:rsid w:val="00AB4201"/>
    <w:rsid w:val="00AB424C"/>
    <w:rsid w:val="00AB43D6"/>
    <w:rsid w:val="00AB47FB"/>
    <w:rsid w:val="00AB48B5"/>
    <w:rsid w:val="00AB4F31"/>
    <w:rsid w:val="00AB5266"/>
    <w:rsid w:val="00AB5303"/>
    <w:rsid w:val="00AB5525"/>
    <w:rsid w:val="00AB5641"/>
    <w:rsid w:val="00AB56F0"/>
    <w:rsid w:val="00AB57D3"/>
    <w:rsid w:val="00AB5D0E"/>
    <w:rsid w:val="00AB60AE"/>
    <w:rsid w:val="00AB6DD6"/>
    <w:rsid w:val="00AB6E3F"/>
    <w:rsid w:val="00AB6FF7"/>
    <w:rsid w:val="00AB7221"/>
    <w:rsid w:val="00AB7381"/>
    <w:rsid w:val="00AB73D2"/>
    <w:rsid w:val="00AB752B"/>
    <w:rsid w:val="00AB76E0"/>
    <w:rsid w:val="00AB76FE"/>
    <w:rsid w:val="00AB7E96"/>
    <w:rsid w:val="00AC006F"/>
    <w:rsid w:val="00AC0BE6"/>
    <w:rsid w:val="00AC1176"/>
    <w:rsid w:val="00AC12B5"/>
    <w:rsid w:val="00AC1385"/>
    <w:rsid w:val="00AC1502"/>
    <w:rsid w:val="00AC190E"/>
    <w:rsid w:val="00AC2B16"/>
    <w:rsid w:val="00AC2F3C"/>
    <w:rsid w:val="00AC3584"/>
    <w:rsid w:val="00AC3D42"/>
    <w:rsid w:val="00AC40E2"/>
    <w:rsid w:val="00AC4BC1"/>
    <w:rsid w:val="00AC4C4A"/>
    <w:rsid w:val="00AC56FF"/>
    <w:rsid w:val="00AC5DBF"/>
    <w:rsid w:val="00AC6800"/>
    <w:rsid w:val="00AC6ECC"/>
    <w:rsid w:val="00AC71A6"/>
    <w:rsid w:val="00AC762E"/>
    <w:rsid w:val="00AC76BE"/>
    <w:rsid w:val="00AC7D20"/>
    <w:rsid w:val="00AC7F6F"/>
    <w:rsid w:val="00AC7FCB"/>
    <w:rsid w:val="00AD0399"/>
    <w:rsid w:val="00AD05C9"/>
    <w:rsid w:val="00AD0827"/>
    <w:rsid w:val="00AD0A7D"/>
    <w:rsid w:val="00AD12C3"/>
    <w:rsid w:val="00AD1588"/>
    <w:rsid w:val="00AD2258"/>
    <w:rsid w:val="00AD2541"/>
    <w:rsid w:val="00AD29D0"/>
    <w:rsid w:val="00AD2D20"/>
    <w:rsid w:val="00AD2E4F"/>
    <w:rsid w:val="00AD2ED3"/>
    <w:rsid w:val="00AD39A3"/>
    <w:rsid w:val="00AD41CB"/>
    <w:rsid w:val="00AD4217"/>
    <w:rsid w:val="00AD42A0"/>
    <w:rsid w:val="00AD45C7"/>
    <w:rsid w:val="00AD478E"/>
    <w:rsid w:val="00AD4A5E"/>
    <w:rsid w:val="00AD5722"/>
    <w:rsid w:val="00AD5769"/>
    <w:rsid w:val="00AD5B10"/>
    <w:rsid w:val="00AD608C"/>
    <w:rsid w:val="00AD6391"/>
    <w:rsid w:val="00AD66DE"/>
    <w:rsid w:val="00AD682E"/>
    <w:rsid w:val="00AD6AFA"/>
    <w:rsid w:val="00AD77C0"/>
    <w:rsid w:val="00AD7E23"/>
    <w:rsid w:val="00AE017B"/>
    <w:rsid w:val="00AE0272"/>
    <w:rsid w:val="00AE0539"/>
    <w:rsid w:val="00AE07CD"/>
    <w:rsid w:val="00AE0D9D"/>
    <w:rsid w:val="00AE1AE9"/>
    <w:rsid w:val="00AE1B47"/>
    <w:rsid w:val="00AE2DAC"/>
    <w:rsid w:val="00AE2F6B"/>
    <w:rsid w:val="00AE2F83"/>
    <w:rsid w:val="00AE3013"/>
    <w:rsid w:val="00AE3B3A"/>
    <w:rsid w:val="00AE3D31"/>
    <w:rsid w:val="00AE4262"/>
    <w:rsid w:val="00AE4301"/>
    <w:rsid w:val="00AE46C8"/>
    <w:rsid w:val="00AE5015"/>
    <w:rsid w:val="00AE50AB"/>
    <w:rsid w:val="00AE5368"/>
    <w:rsid w:val="00AE5E5C"/>
    <w:rsid w:val="00AE5E92"/>
    <w:rsid w:val="00AE6041"/>
    <w:rsid w:val="00AE6B50"/>
    <w:rsid w:val="00AE74BC"/>
    <w:rsid w:val="00AE7D0B"/>
    <w:rsid w:val="00AF0849"/>
    <w:rsid w:val="00AF0B01"/>
    <w:rsid w:val="00AF0D42"/>
    <w:rsid w:val="00AF0DCC"/>
    <w:rsid w:val="00AF0E2A"/>
    <w:rsid w:val="00AF0E33"/>
    <w:rsid w:val="00AF0ED0"/>
    <w:rsid w:val="00AF11E4"/>
    <w:rsid w:val="00AF1846"/>
    <w:rsid w:val="00AF1984"/>
    <w:rsid w:val="00AF1D11"/>
    <w:rsid w:val="00AF2273"/>
    <w:rsid w:val="00AF2413"/>
    <w:rsid w:val="00AF29AB"/>
    <w:rsid w:val="00AF2ED9"/>
    <w:rsid w:val="00AF2F2F"/>
    <w:rsid w:val="00AF2FDB"/>
    <w:rsid w:val="00AF3465"/>
    <w:rsid w:val="00AF37BA"/>
    <w:rsid w:val="00AF3EA2"/>
    <w:rsid w:val="00AF3F31"/>
    <w:rsid w:val="00AF40A1"/>
    <w:rsid w:val="00AF440F"/>
    <w:rsid w:val="00AF4452"/>
    <w:rsid w:val="00AF4459"/>
    <w:rsid w:val="00AF507B"/>
    <w:rsid w:val="00AF51D7"/>
    <w:rsid w:val="00AF524C"/>
    <w:rsid w:val="00AF5856"/>
    <w:rsid w:val="00AF5DA0"/>
    <w:rsid w:val="00AF5E16"/>
    <w:rsid w:val="00AF5F08"/>
    <w:rsid w:val="00AF6642"/>
    <w:rsid w:val="00AF676B"/>
    <w:rsid w:val="00AF6E05"/>
    <w:rsid w:val="00AF6F88"/>
    <w:rsid w:val="00AF7519"/>
    <w:rsid w:val="00AF76AD"/>
    <w:rsid w:val="00AF7752"/>
    <w:rsid w:val="00AF7814"/>
    <w:rsid w:val="00B00AAE"/>
    <w:rsid w:val="00B00AB6"/>
    <w:rsid w:val="00B00B21"/>
    <w:rsid w:val="00B01028"/>
    <w:rsid w:val="00B0104C"/>
    <w:rsid w:val="00B01058"/>
    <w:rsid w:val="00B016B0"/>
    <w:rsid w:val="00B018A0"/>
    <w:rsid w:val="00B01B00"/>
    <w:rsid w:val="00B01D2C"/>
    <w:rsid w:val="00B02986"/>
    <w:rsid w:val="00B0365E"/>
    <w:rsid w:val="00B03B5F"/>
    <w:rsid w:val="00B04B73"/>
    <w:rsid w:val="00B04C40"/>
    <w:rsid w:val="00B04DF8"/>
    <w:rsid w:val="00B052A3"/>
    <w:rsid w:val="00B05E46"/>
    <w:rsid w:val="00B05EA0"/>
    <w:rsid w:val="00B06513"/>
    <w:rsid w:val="00B068AF"/>
    <w:rsid w:val="00B06E97"/>
    <w:rsid w:val="00B0700B"/>
    <w:rsid w:val="00B076E8"/>
    <w:rsid w:val="00B10348"/>
    <w:rsid w:val="00B10369"/>
    <w:rsid w:val="00B10633"/>
    <w:rsid w:val="00B10E74"/>
    <w:rsid w:val="00B12076"/>
    <w:rsid w:val="00B129F8"/>
    <w:rsid w:val="00B13649"/>
    <w:rsid w:val="00B13BA2"/>
    <w:rsid w:val="00B13BA7"/>
    <w:rsid w:val="00B13CA4"/>
    <w:rsid w:val="00B14491"/>
    <w:rsid w:val="00B149BE"/>
    <w:rsid w:val="00B15050"/>
    <w:rsid w:val="00B15B01"/>
    <w:rsid w:val="00B15B17"/>
    <w:rsid w:val="00B15CE7"/>
    <w:rsid w:val="00B15F11"/>
    <w:rsid w:val="00B1629D"/>
    <w:rsid w:val="00B16A4A"/>
    <w:rsid w:val="00B172DD"/>
    <w:rsid w:val="00B176A6"/>
    <w:rsid w:val="00B1789C"/>
    <w:rsid w:val="00B17C52"/>
    <w:rsid w:val="00B17DA3"/>
    <w:rsid w:val="00B2057E"/>
    <w:rsid w:val="00B20822"/>
    <w:rsid w:val="00B2095D"/>
    <w:rsid w:val="00B20C8E"/>
    <w:rsid w:val="00B20D5F"/>
    <w:rsid w:val="00B21ACE"/>
    <w:rsid w:val="00B220A9"/>
    <w:rsid w:val="00B2269D"/>
    <w:rsid w:val="00B22B26"/>
    <w:rsid w:val="00B2354B"/>
    <w:rsid w:val="00B2367D"/>
    <w:rsid w:val="00B23A82"/>
    <w:rsid w:val="00B243A5"/>
    <w:rsid w:val="00B24ABF"/>
    <w:rsid w:val="00B251C9"/>
    <w:rsid w:val="00B252ED"/>
    <w:rsid w:val="00B26187"/>
    <w:rsid w:val="00B2626D"/>
    <w:rsid w:val="00B26440"/>
    <w:rsid w:val="00B269E8"/>
    <w:rsid w:val="00B270F2"/>
    <w:rsid w:val="00B27435"/>
    <w:rsid w:val="00B27826"/>
    <w:rsid w:val="00B27BD5"/>
    <w:rsid w:val="00B27C43"/>
    <w:rsid w:val="00B3042E"/>
    <w:rsid w:val="00B30ABC"/>
    <w:rsid w:val="00B30E56"/>
    <w:rsid w:val="00B31255"/>
    <w:rsid w:val="00B31A00"/>
    <w:rsid w:val="00B31FA1"/>
    <w:rsid w:val="00B32192"/>
    <w:rsid w:val="00B32273"/>
    <w:rsid w:val="00B32C10"/>
    <w:rsid w:val="00B32F76"/>
    <w:rsid w:val="00B33015"/>
    <w:rsid w:val="00B33163"/>
    <w:rsid w:val="00B333AC"/>
    <w:rsid w:val="00B33655"/>
    <w:rsid w:val="00B3472D"/>
    <w:rsid w:val="00B34AAC"/>
    <w:rsid w:val="00B34DAB"/>
    <w:rsid w:val="00B34EBB"/>
    <w:rsid w:val="00B3503D"/>
    <w:rsid w:val="00B350A0"/>
    <w:rsid w:val="00B3567D"/>
    <w:rsid w:val="00B35A28"/>
    <w:rsid w:val="00B376A9"/>
    <w:rsid w:val="00B37775"/>
    <w:rsid w:val="00B40B08"/>
    <w:rsid w:val="00B40D95"/>
    <w:rsid w:val="00B4263D"/>
    <w:rsid w:val="00B42FBD"/>
    <w:rsid w:val="00B43BDA"/>
    <w:rsid w:val="00B4437B"/>
    <w:rsid w:val="00B45183"/>
    <w:rsid w:val="00B457B8"/>
    <w:rsid w:val="00B460DC"/>
    <w:rsid w:val="00B46460"/>
    <w:rsid w:val="00B46652"/>
    <w:rsid w:val="00B46985"/>
    <w:rsid w:val="00B46AEA"/>
    <w:rsid w:val="00B46B1D"/>
    <w:rsid w:val="00B46D9E"/>
    <w:rsid w:val="00B46F2F"/>
    <w:rsid w:val="00B47091"/>
    <w:rsid w:val="00B470AF"/>
    <w:rsid w:val="00B476E3"/>
    <w:rsid w:val="00B47702"/>
    <w:rsid w:val="00B47E31"/>
    <w:rsid w:val="00B47EE4"/>
    <w:rsid w:val="00B50268"/>
    <w:rsid w:val="00B5028A"/>
    <w:rsid w:val="00B50298"/>
    <w:rsid w:val="00B507BD"/>
    <w:rsid w:val="00B50B02"/>
    <w:rsid w:val="00B50CE8"/>
    <w:rsid w:val="00B50F78"/>
    <w:rsid w:val="00B5113A"/>
    <w:rsid w:val="00B51295"/>
    <w:rsid w:val="00B5130B"/>
    <w:rsid w:val="00B516B2"/>
    <w:rsid w:val="00B51F41"/>
    <w:rsid w:val="00B52035"/>
    <w:rsid w:val="00B52A28"/>
    <w:rsid w:val="00B534B4"/>
    <w:rsid w:val="00B5374C"/>
    <w:rsid w:val="00B53EE7"/>
    <w:rsid w:val="00B544EB"/>
    <w:rsid w:val="00B5460F"/>
    <w:rsid w:val="00B54D35"/>
    <w:rsid w:val="00B54F1C"/>
    <w:rsid w:val="00B55469"/>
    <w:rsid w:val="00B55CB1"/>
    <w:rsid w:val="00B55D18"/>
    <w:rsid w:val="00B561FA"/>
    <w:rsid w:val="00B56719"/>
    <w:rsid w:val="00B5679C"/>
    <w:rsid w:val="00B567C3"/>
    <w:rsid w:val="00B56D9E"/>
    <w:rsid w:val="00B56EC6"/>
    <w:rsid w:val="00B57385"/>
    <w:rsid w:val="00B57AEB"/>
    <w:rsid w:val="00B57C6F"/>
    <w:rsid w:val="00B57FB7"/>
    <w:rsid w:val="00B603CE"/>
    <w:rsid w:val="00B6045D"/>
    <w:rsid w:val="00B60540"/>
    <w:rsid w:val="00B605A1"/>
    <w:rsid w:val="00B607C6"/>
    <w:rsid w:val="00B60848"/>
    <w:rsid w:val="00B60B81"/>
    <w:rsid w:val="00B60E83"/>
    <w:rsid w:val="00B61628"/>
    <w:rsid w:val="00B6179F"/>
    <w:rsid w:val="00B6212E"/>
    <w:rsid w:val="00B62225"/>
    <w:rsid w:val="00B62D05"/>
    <w:rsid w:val="00B63506"/>
    <w:rsid w:val="00B63572"/>
    <w:rsid w:val="00B63A4C"/>
    <w:rsid w:val="00B646FE"/>
    <w:rsid w:val="00B64725"/>
    <w:rsid w:val="00B64BC5"/>
    <w:rsid w:val="00B64E4A"/>
    <w:rsid w:val="00B6504F"/>
    <w:rsid w:val="00B65170"/>
    <w:rsid w:val="00B65438"/>
    <w:rsid w:val="00B65BDD"/>
    <w:rsid w:val="00B65E0C"/>
    <w:rsid w:val="00B6630F"/>
    <w:rsid w:val="00B66427"/>
    <w:rsid w:val="00B6672D"/>
    <w:rsid w:val="00B6694C"/>
    <w:rsid w:val="00B66E34"/>
    <w:rsid w:val="00B670E0"/>
    <w:rsid w:val="00B671DA"/>
    <w:rsid w:val="00B67E31"/>
    <w:rsid w:val="00B701E7"/>
    <w:rsid w:val="00B70FD7"/>
    <w:rsid w:val="00B71129"/>
    <w:rsid w:val="00B71292"/>
    <w:rsid w:val="00B71491"/>
    <w:rsid w:val="00B71D15"/>
    <w:rsid w:val="00B71E07"/>
    <w:rsid w:val="00B720A1"/>
    <w:rsid w:val="00B728D7"/>
    <w:rsid w:val="00B72A53"/>
    <w:rsid w:val="00B72CA9"/>
    <w:rsid w:val="00B72E25"/>
    <w:rsid w:val="00B731FB"/>
    <w:rsid w:val="00B734D2"/>
    <w:rsid w:val="00B736FF"/>
    <w:rsid w:val="00B73BCB"/>
    <w:rsid w:val="00B73D35"/>
    <w:rsid w:val="00B74333"/>
    <w:rsid w:val="00B744D5"/>
    <w:rsid w:val="00B74D1C"/>
    <w:rsid w:val="00B75340"/>
    <w:rsid w:val="00B754A9"/>
    <w:rsid w:val="00B75701"/>
    <w:rsid w:val="00B75A9A"/>
    <w:rsid w:val="00B75C81"/>
    <w:rsid w:val="00B76254"/>
    <w:rsid w:val="00B77703"/>
    <w:rsid w:val="00B77A3D"/>
    <w:rsid w:val="00B800F3"/>
    <w:rsid w:val="00B80158"/>
    <w:rsid w:val="00B80213"/>
    <w:rsid w:val="00B805B9"/>
    <w:rsid w:val="00B807DD"/>
    <w:rsid w:val="00B80978"/>
    <w:rsid w:val="00B80FC1"/>
    <w:rsid w:val="00B81403"/>
    <w:rsid w:val="00B814A4"/>
    <w:rsid w:val="00B81FA5"/>
    <w:rsid w:val="00B82063"/>
    <w:rsid w:val="00B821E4"/>
    <w:rsid w:val="00B82478"/>
    <w:rsid w:val="00B82E99"/>
    <w:rsid w:val="00B831DF"/>
    <w:rsid w:val="00B83222"/>
    <w:rsid w:val="00B83485"/>
    <w:rsid w:val="00B83C44"/>
    <w:rsid w:val="00B840F7"/>
    <w:rsid w:val="00B84127"/>
    <w:rsid w:val="00B8431C"/>
    <w:rsid w:val="00B84C20"/>
    <w:rsid w:val="00B84D0D"/>
    <w:rsid w:val="00B8565F"/>
    <w:rsid w:val="00B862C4"/>
    <w:rsid w:val="00B86316"/>
    <w:rsid w:val="00B86605"/>
    <w:rsid w:val="00B87011"/>
    <w:rsid w:val="00B87452"/>
    <w:rsid w:val="00B87CEC"/>
    <w:rsid w:val="00B87F77"/>
    <w:rsid w:val="00B90446"/>
    <w:rsid w:val="00B9085F"/>
    <w:rsid w:val="00B90A66"/>
    <w:rsid w:val="00B90FD3"/>
    <w:rsid w:val="00B915B5"/>
    <w:rsid w:val="00B91A72"/>
    <w:rsid w:val="00B91ADD"/>
    <w:rsid w:val="00B91E41"/>
    <w:rsid w:val="00B91FCA"/>
    <w:rsid w:val="00B9265B"/>
    <w:rsid w:val="00B92867"/>
    <w:rsid w:val="00B9294D"/>
    <w:rsid w:val="00B92CCD"/>
    <w:rsid w:val="00B931AA"/>
    <w:rsid w:val="00B93316"/>
    <w:rsid w:val="00B93BDF"/>
    <w:rsid w:val="00B9449E"/>
    <w:rsid w:val="00B94FA2"/>
    <w:rsid w:val="00B95568"/>
    <w:rsid w:val="00B959C2"/>
    <w:rsid w:val="00B959FB"/>
    <w:rsid w:val="00B95BE4"/>
    <w:rsid w:val="00B95C19"/>
    <w:rsid w:val="00B962FA"/>
    <w:rsid w:val="00B9641B"/>
    <w:rsid w:val="00B96960"/>
    <w:rsid w:val="00B969D3"/>
    <w:rsid w:val="00B96F6E"/>
    <w:rsid w:val="00BA0272"/>
    <w:rsid w:val="00BA04CB"/>
    <w:rsid w:val="00BA0526"/>
    <w:rsid w:val="00BA077C"/>
    <w:rsid w:val="00BA07F4"/>
    <w:rsid w:val="00BA1451"/>
    <w:rsid w:val="00BA1577"/>
    <w:rsid w:val="00BA197D"/>
    <w:rsid w:val="00BA2809"/>
    <w:rsid w:val="00BA28DD"/>
    <w:rsid w:val="00BA3759"/>
    <w:rsid w:val="00BA3A46"/>
    <w:rsid w:val="00BA3DB9"/>
    <w:rsid w:val="00BA48E2"/>
    <w:rsid w:val="00BA4BBA"/>
    <w:rsid w:val="00BA4D60"/>
    <w:rsid w:val="00BA5E00"/>
    <w:rsid w:val="00BA64DE"/>
    <w:rsid w:val="00BA65FA"/>
    <w:rsid w:val="00BA675A"/>
    <w:rsid w:val="00BA758C"/>
    <w:rsid w:val="00BA778C"/>
    <w:rsid w:val="00BA79C5"/>
    <w:rsid w:val="00BA7A9C"/>
    <w:rsid w:val="00BA7BC1"/>
    <w:rsid w:val="00BA7F64"/>
    <w:rsid w:val="00BA7FCF"/>
    <w:rsid w:val="00BB1B1E"/>
    <w:rsid w:val="00BB1F50"/>
    <w:rsid w:val="00BB2511"/>
    <w:rsid w:val="00BB2EC1"/>
    <w:rsid w:val="00BB3E5B"/>
    <w:rsid w:val="00BB3F53"/>
    <w:rsid w:val="00BB4027"/>
    <w:rsid w:val="00BB4526"/>
    <w:rsid w:val="00BB4587"/>
    <w:rsid w:val="00BB53F6"/>
    <w:rsid w:val="00BB5450"/>
    <w:rsid w:val="00BB5D8F"/>
    <w:rsid w:val="00BB600B"/>
    <w:rsid w:val="00BB65E2"/>
    <w:rsid w:val="00BB65E6"/>
    <w:rsid w:val="00BB6612"/>
    <w:rsid w:val="00BB67DB"/>
    <w:rsid w:val="00BB6E05"/>
    <w:rsid w:val="00BB711B"/>
    <w:rsid w:val="00BB7636"/>
    <w:rsid w:val="00BB7901"/>
    <w:rsid w:val="00BB7C33"/>
    <w:rsid w:val="00BB7ED8"/>
    <w:rsid w:val="00BC05AB"/>
    <w:rsid w:val="00BC066E"/>
    <w:rsid w:val="00BC0762"/>
    <w:rsid w:val="00BC09AC"/>
    <w:rsid w:val="00BC0B7D"/>
    <w:rsid w:val="00BC0CA0"/>
    <w:rsid w:val="00BC117E"/>
    <w:rsid w:val="00BC12C7"/>
    <w:rsid w:val="00BC1811"/>
    <w:rsid w:val="00BC19B0"/>
    <w:rsid w:val="00BC1BC3"/>
    <w:rsid w:val="00BC1C29"/>
    <w:rsid w:val="00BC1DA6"/>
    <w:rsid w:val="00BC275F"/>
    <w:rsid w:val="00BC29B4"/>
    <w:rsid w:val="00BC2B49"/>
    <w:rsid w:val="00BC2B55"/>
    <w:rsid w:val="00BC2CBF"/>
    <w:rsid w:val="00BC2F0F"/>
    <w:rsid w:val="00BC36FF"/>
    <w:rsid w:val="00BC3CE9"/>
    <w:rsid w:val="00BC409B"/>
    <w:rsid w:val="00BC4631"/>
    <w:rsid w:val="00BC5458"/>
    <w:rsid w:val="00BC5A6F"/>
    <w:rsid w:val="00BC5BBD"/>
    <w:rsid w:val="00BC60A5"/>
    <w:rsid w:val="00BC611F"/>
    <w:rsid w:val="00BC6253"/>
    <w:rsid w:val="00BC653E"/>
    <w:rsid w:val="00BC6834"/>
    <w:rsid w:val="00BC6D26"/>
    <w:rsid w:val="00BC727F"/>
    <w:rsid w:val="00BC762E"/>
    <w:rsid w:val="00BC76DB"/>
    <w:rsid w:val="00BC783F"/>
    <w:rsid w:val="00BC7DE8"/>
    <w:rsid w:val="00BD08C6"/>
    <w:rsid w:val="00BD1305"/>
    <w:rsid w:val="00BD16C8"/>
    <w:rsid w:val="00BD17A3"/>
    <w:rsid w:val="00BD181E"/>
    <w:rsid w:val="00BD18DE"/>
    <w:rsid w:val="00BD1DB8"/>
    <w:rsid w:val="00BD253A"/>
    <w:rsid w:val="00BD2BDD"/>
    <w:rsid w:val="00BD3145"/>
    <w:rsid w:val="00BD3273"/>
    <w:rsid w:val="00BD331F"/>
    <w:rsid w:val="00BD3F0D"/>
    <w:rsid w:val="00BD417F"/>
    <w:rsid w:val="00BD4E65"/>
    <w:rsid w:val="00BD4FA0"/>
    <w:rsid w:val="00BD4FF8"/>
    <w:rsid w:val="00BD506F"/>
    <w:rsid w:val="00BD5B8A"/>
    <w:rsid w:val="00BD5E1A"/>
    <w:rsid w:val="00BD5E35"/>
    <w:rsid w:val="00BD5F01"/>
    <w:rsid w:val="00BD6668"/>
    <w:rsid w:val="00BD6686"/>
    <w:rsid w:val="00BD680C"/>
    <w:rsid w:val="00BD6A5C"/>
    <w:rsid w:val="00BD6E93"/>
    <w:rsid w:val="00BD7785"/>
    <w:rsid w:val="00BE008A"/>
    <w:rsid w:val="00BE015C"/>
    <w:rsid w:val="00BE18F4"/>
    <w:rsid w:val="00BE2220"/>
    <w:rsid w:val="00BE2392"/>
    <w:rsid w:val="00BE25E7"/>
    <w:rsid w:val="00BE278D"/>
    <w:rsid w:val="00BE2A0C"/>
    <w:rsid w:val="00BE2D12"/>
    <w:rsid w:val="00BE35B1"/>
    <w:rsid w:val="00BE361B"/>
    <w:rsid w:val="00BE364E"/>
    <w:rsid w:val="00BE4693"/>
    <w:rsid w:val="00BE4768"/>
    <w:rsid w:val="00BE4C47"/>
    <w:rsid w:val="00BE512A"/>
    <w:rsid w:val="00BE52B6"/>
    <w:rsid w:val="00BE5FFB"/>
    <w:rsid w:val="00BE63AE"/>
    <w:rsid w:val="00BE6742"/>
    <w:rsid w:val="00BE679F"/>
    <w:rsid w:val="00BE72B6"/>
    <w:rsid w:val="00BE7C11"/>
    <w:rsid w:val="00BE7D04"/>
    <w:rsid w:val="00BF05F2"/>
    <w:rsid w:val="00BF08E6"/>
    <w:rsid w:val="00BF0CA9"/>
    <w:rsid w:val="00BF0F6F"/>
    <w:rsid w:val="00BF12D3"/>
    <w:rsid w:val="00BF191E"/>
    <w:rsid w:val="00BF1C88"/>
    <w:rsid w:val="00BF1DFC"/>
    <w:rsid w:val="00BF1E18"/>
    <w:rsid w:val="00BF202B"/>
    <w:rsid w:val="00BF23DA"/>
    <w:rsid w:val="00BF28DE"/>
    <w:rsid w:val="00BF2C08"/>
    <w:rsid w:val="00BF2E9E"/>
    <w:rsid w:val="00BF3135"/>
    <w:rsid w:val="00BF3239"/>
    <w:rsid w:val="00BF34D4"/>
    <w:rsid w:val="00BF3942"/>
    <w:rsid w:val="00BF3C3C"/>
    <w:rsid w:val="00BF3D74"/>
    <w:rsid w:val="00BF43DA"/>
    <w:rsid w:val="00BF44EB"/>
    <w:rsid w:val="00BF4593"/>
    <w:rsid w:val="00BF4A77"/>
    <w:rsid w:val="00BF4B02"/>
    <w:rsid w:val="00BF516A"/>
    <w:rsid w:val="00BF68DF"/>
    <w:rsid w:val="00BF6927"/>
    <w:rsid w:val="00BF7355"/>
    <w:rsid w:val="00BF76F0"/>
    <w:rsid w:val="00C001CF"/>
    <w:rsid w:val="00C00946"/>
    <w:rsid w:val="00C00BA9"/>
    <w:rsid w:val="00C00BCE"/>
    <w:rsid w:val="00C00D23"/>
    <w:rsid w:val="00C011F4"/>
    <w:rsid w:val="00C0133A"/>
    <w:rsid w:val="00C01B98"/>
    <w:rsid w:val="00C01D00"/>
    <w:rsid w:val="00C02EB1"/>
    <w:rsid w:val="00C032A5"/>
    <w:rsid w:val="00C0351A"/>
    <w:rsid w:val="00C03728"/>
    <w:rsid w:val="00C03AC5"/>
    <w:rsid w:val="00C03B41"/>
    <w:rsid w:val="00C03DBF"/>
    <w:rsid w:val="00C0449E"/>
    <w:rsid w:val="00C04E94"/>
    <w:rsid w:val="00C04FA3"/>
    <w:rsid w:val="00C0565F"/>
    <w:rsid w:val="00C058B4"/>
    <w:rsid w:val="00C05C00"/>
    <w:rsid w:val="00C07582"/>
    <w:rsid w:val="00C07677"/>
    <w:rsid w:val="00C07877"/>
    <w:rsid w:val="00C104D0"/>
    <w:rsid w:val="00C11293"/>
    <w:rsid w:val="00C1161B"/>
    <w:rsid w:val="00C11B43"/>
    <w:rsid w:val="00C122A7"/>
    <w:rsid w:val="00C1255A"/>
    <w:rsid w:val="00C125FF"/>
    <w:rsid w:val="00C12CCB"/>
    <w:rsid w:val="00C13C5B"/>
    <w:rsid w:val="00C13D99"/>
    <w:rsid w:val="00C13F8D"/>
    <w:rsid w:val="00C141EA"/>
    <w:rsid w:val="00C1449C"/>
    <w:rsid w:val="00C1462A"/>
    <w:rsid w:val="00C146DE"/>
    <w:rsid w:val="00C14972"/>
    <w:rsid w:val="00C14C06"/>
    <w:rsid w:val="00C154E2"/>
    <w:rsid w:val="00C15792"/>
    <w:rsid w:val="00C1591B"/>
    <w:rsid w:val="00C16422"/>
    <w:rsid w:val="00C167F6"/>
    <w:rsid w:val="00C17305"/>
    <w:rsid w:val="00C201BB"/>
    <w:rsid w:val="00C206F9"/>
    <w:rsid w:val="00C20765"/>
    <w:rsid w:val="00C208B8"/>
    <w:rsid w:val="00C21296"/>
    <w:rsid w:val="00C213E2"/>
    <w:rsid w:val="00C215E7"/>
    <w:rsid w:val="00C21795"/>
    <w:rsid w:val="00C219B1"/>
    <w:rsid w:val="00C228F4"/>
    <w:rsid w:val="00C2365C"/>
    <w:rsid w:val="00C23AE9"/>
    <w:rsid w:val="00C24027"/>
    <w:rsid w:val="00C240E0"/>
    <w:rsid w:val="00C243A8"/>
    <w:rsid w:val="00C24A87"/>
    <w:rsid w:val="00C25160"/>
    <w:rsid w:val="00C25172"/>
    <w:rsid w:val="00C258EF"/>
    <w:rsid w:val="00C25CE8"/>
    <w:rsid w:val="00C25F6D"/>
    <w:rsid w:val="00C26143"/>
    <w:rsid w:val="00C266DA"/>
    <w:rsid w:val="00C27139"/>
    <w:rsid w:val="00C2717A"/>
    <w:rsid w:val="00C271B4"/>
    <w:rsid w:val="00C27AEA"/>
    <w:rsid w:val="00C27C6E"/>
    <w:rsid w:val="00C27F59"/>
    <w:rsid w:val="00C301E5"/>
    <w:rsid w:val="00C3037C"/>
    <w:rsid w:val="00C304A9"/>
    <w:rsid w:val="00C3055D"/>
    <w:rsid w:val="00C30561"/>
    <w:rsid w:val="00C307F4"/>
    <w:rsid w:val="00C30A04"/>
    <w:rsid w:val="00C31072"/>
    <w:rsid w:val="00C31180"/>
    <w:rsid w:val="00C31181"/>
    <w:rsid w:val="00C31218"/>
    <w:rsid w:val="00C317FC"/>
    <w:rsid w:val="00C3188D"/>
    <w:rsid w:val="00C32420"/>
    <w:rsid w:val="00C33BB7"/>
    <w:rsid w:val="00C33BDD"/>
    <w:rsid w:val="00C33D57"/>
    <w:rsid w:val="00C340EA"/>
    <w:rsid w:val="00C349C3"/>
    <w:rsid w:val="00C34A47"/>
    <w:rsid w:val="00C34ED9"/>
    <w:rsid w:val="00C3540E"/>
    <w:rsid w:val="00C35413"/>
    <w:rsid w:val="00C357FE"/>
    <w:rsid w:val="00C35E5C"/>
    <w:rsid w:val="00C365C9"/>
    <w:rsid w:val="00C375F9"/>
    <w:rsid w:val="00C37673"/>
    <w:rsid w:val="00C37ABC"/>
    <w:rsid w:val="00C37C78"/>
    <w:rsid w:val="00C40528"/>
    <w:rsid w:val="00C40959"/>
    <w:rsid w:val="00C40C74"/>
    <w:rsid w:val="00C40D2C"/>
    <w:rsid w:val="00C40D55"/>
    <w:rsid w:val="00C410EC"/>
    <w:rsid w:val="00C41394"/>
    <w:rsid w:val="00C4144F"/>
    <w:rsid w:val="00C41452"/>
    <w:rsid w:val="00C41B2F"/>
    <w:rsid w:val="00C42470"/>
    <w:rsid w:val="00C42797"/>
    <w:rsid w:val="00C42996"/>
    <w:rsid w:val="00C42C47"/>
    <w:rsid w:val="00C42DE6"/>
    <w:rsid w:val="00C42E57"/>
    <w:rsid w:val="00C42F39"/>
    <w:rsid w:val="00C430DA"/>
    <w:rsid w:val="00C432C5"/>
    <w:rsid w:val="00C43306"/>
    <w:rsid w:val="00C437EB"/>
    <w:rsid w:val="00C43EFF"/>
    <w:rsid w:val="00C4410C"/>
    <w:rsid w:val="00C4437A"/>
    <w:rsid w:val="00C447AA"/>
    <w:rsid w:val="00C44B7F"/>
    <w:rsid w:val="00C44C18"/>
    <w:rsid w:val="00C44C41"/>
    <w:rsid w:val="00C44E3E"/>
    <w:rsid w:val="00C44F7C"/>
    <w:rsid w:val="00C450F0"/>
    <w:rsid w:val="00C45C48"/>
    <w:rsid w:val="00C461E2"/>
    <w:rsid w:val="00C46307"/>
    <w:rsid w:val="00C463E3"/>
    <w:rsid w:val="00C466F3"/>
    <w:rsid w:val="00C46D4B"/>
    <w:rsid w:val="00C46E24"/>
    <w:rsid w:val="00C47902"/>
    <w:rsid w:val="00C47960"/>
    <w:rsid w:val="00C47D27"/>
    <w:rsid w:val="00C50FD3"/>
    <w:rsid w:val="00C51021"/>
    <w:rsid w:val="00C514E1"/>
    <w:rsid w:val="00C516B1"/>
    <w:rsid w:val="00C51A94"/>
    <w:rsid w:val="00C51CF6"/>
    <w:rsid w:val="00C5284F"/>
    <w:rsid w:val="00C52917"/>
    <w:rsid w:val="00C52C79"/>
    <w:rsid w:val="00C52DFB"/>
    <w:rsid w:val="00C52E19"/>
    <w:rsid w:val="00C5301F"/>
    <w:rsid w:val="00C5393C"/>
    <w:rsid w:val="00C5412D"/>
    <w:rsid w:val="00C543D1"/>
    <w:rsid w:val="00C54EAD"/>
    <w:rsid w:val="00C550D6"/>
    <w:rsid w:val="00C553EC"/>
    <w:rsid w:val="00C55876"/>
    <w:rsid w:val="00C5587D"/>
    <w:rsid w:val="00C563AA"/>
    <w:rsid w:val="00C56515"/>
    <w:rsid w:val="00C567F1"/>
    <w:rsid w:val="00C56D03"/>
    <w:rsid w:val="00C5754F"/>
    <w:rsid w:val="00C5777F"/>
    <w:rsid w:val="00C578CE"/>
    <w:rsid w:val="00C57BEA"/>
    <w:rsid w:val="00C57CC1"/>
    <w:rsid w:val="00C57E89"/>
    <w:rsid w:val="00C60078"/>
    <w:rsid w:val="00C606CB"/>
    <w:rsid w:val="00C60AF4"/>
    <w:rsid w:val="00C61BE1"/>
    <w:rsid w:val="00C61C95"/>
    <w:rsid w:val="00C62502"/>
    <w:rsid w:val="00C62CC0"/>
    <w:rsid w:val="00C63321"/>
    <w:rsid w:val="00C63F11"/>
    <w:rsid w:val="00C64E5F"/>
    <w:rsid w:val="00C6580C"/>
    <w:rsid w:val="00C6587B"/>
    <w:rsid w:val="00C663B7"/>
    <w:rsid w:val="00C67054"/>
    <w:rsid w:val="00C674A5"/>
    <w:rsid w:val="00C70053"/>
    <w:rsid w:val="00C700E5"/>
    <w:rsid w:val="00C70213"/>
    <w:rsid w:val="00C7078F"/>
    <w:rsid w:val="00C70B05"/>
    <w:rsid w:val="00C70F0A"/>
    <w:rsid w:val="00C71032"/>
    <w:rsid w:val="00C711CD"/>
    <w:rsid w:val="00C71804"/>
    <w:rsid w:val="00C7211A"/>
    <w:rsid w:val="00C728AA"/>
    <w:rsid w:val="00C72A1C"/>
    <w:rsid w:val="00C72DA5"/>
    <w:rsid w:val="00C72DDF"/>
    <w:rsid w:val="00C735C8"/>
    <w:rsid w:val="00C739F5"/>
    <w:rsid w:val="00C73CE6"/>
    <w:rsid w:val="00C741CA"/>
    <w:rsid w:val="00C74329"/>
    <w:rsid w:val="00C75100"/>
    <w:rsid w:val="00C75413"/>
    <w:rsid w:val="00C7544D"/>
    <w:rsid w:val="00C75680"/>
    <w:rsid w:val="00C7593E"/>
    <w:rsid w:val="00C75999"/>
    <w:rsid w:val="00C75AB4"/>
    <w:rsid w:val="00C75EE3"/>
    <w:rsid w:val="00C766DC"/>
    <w:rsid w:val="00C77205"/>
    <w:rsid w:val="00C7745B"/>
    <w:rsid w:val="00C779DF"/>
    <w:rsid w:val="00C77CE7"/>
    <w:rsid w:val="00C77D41"/>
    <w:rsid w:val="00C77F66"/>
    <w:rsid w:val="00C80316"/>
    <w:rsid w:val="00C8039C"/>
    <w:rsid w:val="00C803AB"/>
    <w:rsid w:val="00C80705"/>
    <w:rsid w:val="00C80A52"/>
    <w:rsid w:val="00C81E3F"/>
    <w:rsid w:val="00C82310"/>
    <w:rsid w:val="00C826D0"/>
    <w:rsid w:val="00C829EE"/>
    <w:rsid w:val="00C82B87"/>
    <w:rsid w:val="00C82CD6"/>
    <w:rsid w:val="00C83562"/>
    <w:rsid w:val="00C83577"/>
    <w:rsid w:val="00C83602"/>
    <w:rsid w:val="00C83E6E"/>
    <w:rsid w:val="00C83EA7"/>
    <w:rsid w:val="00C8446D"/>
    <w:rsid w:val="00C8531F"/>
    <w:rsid w:val="00C8599D"/>
    <w:rsid w:val="00C85B31"/>
    <w:rsid w:val="00C85B7C"/>
    <w:rsid w:val="00C85F22"/>
    <w:rsid w:val="00C86561"/>
    <w:rsid w:val="00C866C9"/>
    <w:rsid w:val="00C86FA7"/>
    <w:rsid w:val="00C87741"/>
    <w:rsid w:val="00C87E28"/>
    <w:rsid w:val="00C9022A"/>
    <w:rsid w:val="00C9091F"/>
    <w:rsid w:val="00C91156"/>
    <w:rsid w:val="00C921CC"/>
    <w:rsid w:val="00C92783"/>
    <w:rsid w:val="00C9297A"/>
    <w:rsid w:val="00C9298B"/>
    <w:rsid w:val="00C92D19"/>
    <w:rsid w:val="00C92E22"/>
    <w:rsid w:val="00C92F24"/>
    <w:rsid w:val="00C931F2"/>
    <w:rsid w:val="00C938A5"/>
    <w:rsid w:val="00C93CE7"/>
    <w:rsid w:val="00C94C69"/>
    <w:rsid w:val="00C94D54"/>
    <w:rsid w:val="00C94E41"/>
    <w:rsid w:val="00C96411"/>
    <w:rsid w:val="00C96475"/>
    <w:rsid w:val="00C96617"/>
    <w:rsid w:val="00C96782"/>
    <w:rsid w:val="00C97250"/>
    <w:rsid w:val="00C97708"/>
    <w:rsid w:val="00C97925"/>
    <w:rsid w:val="00C97E02"/>
    <w:rsid w:val="00C97F12"/>
    <w:rsid w:val="00C97FE5"/>
    <w:rsid w:val="00CA0707"/>
    <w:rsid w:val="00CA1058"/>
    <w:rsid w:val="00CA1717"/>
    <w:rsid w:val="00CA1EEF"/>
    <w:rsid w:val="00CA233F"/>
    <w:rsid w:val="00CA2578"/>
    <w:rsid w:val="00CA25EF"/>
    <w:rsid w:val="00CA2830"/>
    <w:rsid w:val="00CA3892"/>
    <w:rsid w:val="00CA3F7B"/>
    <w:rsid w:val="00CA44ED"/>
    <w:rsid w:val="00CA470C"/>
    <w:rsid w:val="00CA5144"/>
    <w:rsid w:val="00CA5244"/>
    <w:rsid w:val="00CA542A"/>
    <w:rsid w:val="00CA553D"/>
    <w:rsid w:val="00CA606F"/>
    <w:rsid w:val="00CA6AFE"/>
    <w:rsid w:val="00CA70BF"/>
    <w:rsid w:val="00CA71BD"/>
    <w:rsid w:val="00CA7A85"/>
    <w:rsid w:val="00CB011A"/>
    <w:rsid w:val="00CB0514"/>
    <w:rsid w:val="00CB07FF"/>
    <w:rsid w:val="00CB09F3"/>
    <w:rsid w:val="00CB0BAC"/>
    <w:rsid w:val="00CB0F07"/>
    <w:rsid w:val="00CB12FD"/>
    <w:rsid w:val="00CB1A94"/>
    <w:rsid w:val="00CB2463"/>
    <w:rsid w:val="00CB28A8"/>
    <w:rsid w:val="00CB29EB"/>
    <w:rsid w:val="00CB339B"/>
    <w:rsid w:val="00CB3433"/>
    <w:rsid w:val="00CB3AE9"/>
    <w:rsid w:val="00CB3E4A"/>
    <w:rsid w:val="00CB4538"/>
    <w:rsid w:val="00CB45EB"/>
    <w:rsid w:val="00CB48A2"/>
    <w:rsid w:val="00CB59C1"/>
    <w:rsid w:val="00CB5B73"/>
    <w:rsid w:val="00CB5B89"/>
    <w:rsid w:val="00CB5BD0"/>
    <w:rsid w:val="00CB5DD3"/>
    <w:rsid w:val="00CB752D"/>
    <w:rsid w:val="00CB76BB"/>
    <w:rsid w:val="00CB7714"/>
    <w:rsid w:val="00CC0967"/>
    <w:rsid w:val="00CC0E18"/>
    <w:rsid w:val="00CC10BA"/>
    <w:rsid w:val="00CC1BCF"/>
    <w:rsid w:val="00CC1C40"/>
    <w:rsid w:val="00CC1D06"/>
    <w:rsid w:val="00CC25B6"/>
    <w:rsid w:val="00CC2811"/>
    <w:rsid w:val="00CC2A5F"/>
    <w:rsid w:val="00CC2D0E"/>
    <w:rsid w:val="00CC3155"/>
    <w:rsid w:val="00CC35D7"/>
    <w:rsid w:val="00CC3A63"/>
    <w:rsid w:val="00CC3FD3"/>
    <w:rsid w:val="00CC4249"/>
    <w:rsid w:val="00CC44C2"/>
    <w:rsid w:val="00CC4B3E"/>
    <w:rsid w:val="00CC4D1C"/>
    <w:rsid w:val="00CC4FB9"/>
    <w:rsid w:val="00CC5134"/>
    <w:rsid w:val="00CC51EE"/>
    <w:rsid w:val="00CC5672"/>
    <w:rsid w:val="00CC5CD3"/>
    <w:rsid w:val="00CC5FFF"/>
    <w:rsid w:val="00CC6142"/>
    <w:rsid w:val="00CC66A2"/>
    <w:rsid w:val="00CC71E8"/>
    <w:rsid w:val="00CC7942"/>
    <w:rsid w:val="00CC7A2F"/>
    <w:rsid w:val="00CD0270"/>
    <w:rsid w:val="00CD0633"/>
    <w:rsid w:val="00CD06B8"/>
    <w:rsid w:val="00CD06C6"/>
    <w:rsid w:val="00CD0BAD"/>
    <w:rsid w:val="00CD0F3B"/>
    <w:rsid w:val="00CD1025"/>
    <w:rsid w:val="00CD116E"/>
    <w:rsid w:val="00CD1E4E"/>
    <w:rsid w:val="00CD28F9"/>
    <w:rsid w:val="00CD2E46"/>
    <w:rsid w:val="00CD2EDB"/>
    <w:rsid w:val="00CD2F6E"/>
    <w:rsid w:val="00CD33A9"/>
    <w:rsid w:val="00CD3A94"/>
    <w:rsid w:val="00CD3B36"/>
    <w:rsid w:val="00CD4113"/>
    <w:rsid w:val="00CD4321"/>
    <w:rsid w:val="00CD4485"/>
    <w:rsid w:val="00CD48FE"/>
    <w:rsid w:val="00CD4C26"/>
    <w:rsid w:val="00CD50F8"/>
    <w:rsid w:val="00CD5B50"/>
    <w:rsid w:val="00CD5C1F"/>
    <w:rsid w:val="00CD64B8"/>
    <w:rsid w:val="00CD6711"/>
    <w:rsid w:val="00CD6B12"/>
    <w:rsid w:val="00CD6BF7"/>
    <w:rsid w:val="00CD776F"/>
    <w:rsid w:val="00CD7FFC"/>
    <w:rsid w:val="00CE1757"/>
    <w:rsid w:val="00CE1A3F"/>
    <w:rsid w:val="00CE1AF2"/>
    <w:rsid w:val="00CE1B43"/>
    <w:rsid w:val="00CE1B9C"/>
    <w:rsid w:val="00CE2048"/>
    <w:rsid w:val="00CE2D5B"/>
    <w:rsid w:val="00CE2DE9"/>
    <w:rsid w:val="00CE30AC"/>
    <w:rsid w:val="00CE31D6"/>
    <w:rsid w:val="00CE34B7"/>
    <w:rsid w:val="00CE34CC"/>
    <w:rsid w:val="00CE3CD0"/>
    <w:rsid w:val="00CE3F11"/>
    <w:rsid w:val="00CE3F69"/>
    <w:rsid w:val="00CE54F8"/>
    <w:rsid w:val="00CE5E92"/>
    <w:rsid w:val="00CE5EE8"/>
    <w:rsid w:val="00CE5F2A"/>
    <w:rsid w:val="00CE67EA"/>
    <w:rsid w:val="00CE69F3"/>
    <w:rsid w:val="00CE6B66"/>
    <w:rsid w:val="00CE70DB"/>
    <w:rsid w:val="00CE79D1"/>
    <w:rsid w:val="00CE79F0"/>
    <w:rsid w:val="00CF0044"/>
    <w:rsid w:val="00CF0876"/>
    <w:rsid w:val="00CF0C61"/>
    <w:rsid w:val="00CF0CD9"/>
    <w:rsid w:val="00CF115A"/>
    <w:rsid w:val="00CF1802"/>
    <w:rsid w:val="00CF1FD8"/>
    <w:rsid w:val="00CF2313"/>
    <w:rsid w:val="00CF2529"/>
    <w:rsid w:val="00CF2A20"/>
    <w:rsid w:val="00CF2D7A"/>
    <w:rsid w:val="00CF3606"/>
    <w:rsid w:val="00CF3E90"/>
    <w:rsid w:val="00CF3F74"/>
    <w:rsid w:val="00CF4163"/>
    <w:rsid w:val="00CF4BFB"/>
    <w:rsid w:val="00CF4E05"/>
    <w:rsid w:val="00CF4F57"/>
    <w:rsid w:val="00CF5343"/>
    <w:rsid w:val="00CF53AB"/>
    <w:rsid w:val="00CF5DF9"/>
    <w:rsid w:val="00CF678F"/>
    <w:rsid w:val="00CF700C"/>
    <w:rsid w:val="00CF7D52"/>
    <w:rsid w:val="00D00069"/>
    <w:rsid w:val="00D00467"/>
    <w:rsid w:val="00D00592"/>
    <w:rsid w:val="00D00BED"/>
    <w:rsid w:val="00D00F94"/>
    <w:rsid w:val="00D01017"/>
    <w:rsid w:val="00D011FF"/>
    <w:rsid w:val="00D012B2"/>
    <w:rsid w:val="00D01428"/>
    <w:rsid w:val="00D01523"/>
    <w:rsid w:val="00D01A43"/>
    <w:rsid w:val="00D020B8"/>
    <w:rsid w:val="00D02336"/>
    <w:rsid w:val="00D02A29"/>
    <w:rsid w:val="00D02E50"/>
    <w:rsid w:val="00D0362E"/>
    <w:rsid w:val="00D03663"/>
    <w:rsid w:val="00D036E8"/>
    <w:rsid w:val="00D03FF1"/>
    <w:rsid w:val="00D041CB"/>
    <w:rsid w:val="00D04355"/>
    <w:rsid w:val="00D04765"/>
    <w:rsid w:val="00D0480D"/>
    <w:rsid w:val="00D04C1B"/>
    <w:rsid w:val="00D04C49"/>
    <w:rsid w:val="00D05144"/>
    <w:rsid w:val="00D0568A"/>
    <w:rsid w:val="00D0594E"/>
    <w:rsid w:val="00D05DC6"/>
    <w:rsid w:val="00D05F19"/>
    <w:rsid w:val="00D06181"/>
    <w:rsid w:val="00D06508"/>
    <w:rsid w:val="00D06CEA"/>
    <w:rsid w:val="00D0703B"/>
    <w:rsid w:val="00D0703F"/>
    <w:rsid w:val="00D103CB"/>
    <w:rsid w:val="00D1093A"/>
    <w:rsid w:val="00D109E9"/>
    <w:rsid w:val="00D10E90"/>
    <w:rsid w:val="00D1107C"/>
    <w:rsid w:val="00D1188D"/>
    <w:rsid w:val="00D11FF3"/>
    <w:rsid w:val="00D12553"/>
    <w:rsid w:val="00D12C02"/>
    <w:rsid w:val="00D12C87"/>
    <w:rsid w:val="00D13226"/>
    <w:rsid w:val="00D13741"/>
    <w:rsid w:val="00D13F80"/>
    <w:rsid w:val="00D1461D"/>
    <w:rsid w:val="00D16432"/>
    <w:rsid w:val="00D1651E"/>
    <w:rsid w:val="00D16A37"/>
    <w:rsid w:val="00D16CB4"/>
    <w:rsid w:val="00D2058A"/>
    <w:rsid w:val="00D206BA"/>
    <w:rsid w:val="00D20818"/>
    <w:rsid w:val="00D20A2F"/>
    <w:rsid w:val="00D21069"/>
    <w:rsid w:val="00D211AC"/>
    <w:rsid w:val="00D213CC"/>
    <w:rsid w:val="00D2156B"/>
    <w:rsid w:val="00D21830"/>
    <w:rsid w:val="00D21EF8"/>
    <w:rsid w:val="00D22304"/>
    <w:rsid w:val="00D224E3"/>
    <w:rsid w:val="00D2252D"/>
    <w:rsid w:val="00D230F4"/>
    <w:rsid w:val="00D2395F"/>
    <w:rsid w:val="00D23BF7"/>
    <w:rsid w:val="00D23FE5"/>
    <w:rsid w:val="00D24324"/>
    <w:rsid w:val="00D24929"/>
    <w:rsid w:val="00D24B82"/>
    <w:rsid w:val="00D24C11"/>
    <w:rsid w:val="00D251AE"/>
    <w:rsid w:val="00D252EA"/>
    <w:rsid w:val="00D265A8"/>
    <w:rsid w:val="00D2667B"/>
    <w:rsid w:val="00D26777"/>
    <w:rsid w:val="00D26BC5"/>
    <w:rsid w:val="00D26BDC"/>
    <w:rsid w:val="00D27C9A"/>
    <w:rsid w:val="00D302A1"/>
    <w:rsid w:val="00D302AB"/>
    <w:rsid w:val="00D3034B"/>
    <w:rsid w:val="00D303B4"/>
    <w:rsid w:val="00D30427"/>
    <w:rsid w:val="00D30564"/>
    <w:rsid w:val="00D3075E"/>
    <w:rsid w:val="00D30B06"/>
    <w:rsid w:val="00D30FA3"/>
    <w:rsid w:val="00D31206"/>
    <w:rsid w:val="00D3129C"/>
    <w:rsid w:val="00D3166C"/>
    <w:rsid w:val="00D31F96"/>
    <w:rsid w:val="00D32DC8"/>
    <w:rsid w:val="00D3305E"/>
    <w:rsid w:val="00D33FA9"/>
    <w:rsid w:val="00D3466A"/>
    <w:rsid w:val="00D34757"/>
    <w:rsid w:val="00D34CDA"/>
    <w:rsid w:val="00D35484"/>
    <w:rsid w:val="00D354AB"/>
    <w:rsid w:val="00D35787"/>
    <w:rsid w:val="00D35ACA"/>
    <w:rsid w:val="00D36238"/>
    <w:rsid w:val="00D363EC"/>
    <w:rsid w:val="00D3690E"/>
    <w:rsid w:val="00D371F8"/>
    <w:rsid w:val="00D37326"/>
    <w:rsid w:val="00D37475"/>
    <w:rsid w:val="00D37629"/>
    <w:rsid w:val="00D377A7"/>
    <w:rsid w:val="00D37991"/>
    <w:rsid w:val="00D37E52"/>
    <w:rsid w:val="00D403B3"/>
    <w:rsid w:val="00D40812"/>
    <w:rsid w:val="00D40BCE"/>
    <w:rsid w:val="00D4111D"/>
    <w:rsid w:val="00D4131E"/>
    <w:rsid w:val="00D41392"/>
    <w:rsid w:val="00D4147D"/>
    <w:rsid w:val="00D417F1"/>
    <w:rsid w:val="00D41BF5"/>
    <w:rsid w:val="00D41C89"/>
    <w:rsid w:val="00D41DBA"/>
    <w:rsid w:val="00D427DA"/>
    <w:rsid w:val="00D42918"/>
    <w:rsid w:val="00D4320D"/>
    <w:rsid w:val="00D43986"/>
    <w:rsid w:val="00D43B66"/>
    <w:rsid w:val="00D442A2"/>
    <w:rsid w:val="00D443B6"/>
    <w:rsid w:val="00D445D9"/>
    <w:rsid w:val="00D44884"/>
    <w:rsid w:val="00D44BB6"/>
    <w:rsid w:val="00D44E5F"/>
    <w:rsid w:val="00D44E76"/>
    <w:rsid w:val="00D44F51"/>
    <w:rsid w:val="00D45286"/>
    <w:rsid w:val="00D4545F"/>
    <w:rsid w:val="00D454C5"/>
    <w:rsid w:val="00D45597"/>
    <w:rsid w:val="00D45837"/>
    <w:rsid w:val="00D45883"/>
    <w:rsid w:val="00D45B47"/>
    <w:rsid w:val="00D45CD8"/>
    <w:rsid w:val="00D460DD"/>
    <w:rsid w:val="00D460E0"/>
    <w:rsid w:val="00D46346"/>
    <w:rsid w:val="00D46BBE"/>
    <w:rsid w:val="00D46D4E"/>
    <w:rsid w:val="00D46EC7"/>
    <w:rsid w:val="00D4758A"/>
    <w:rsid w:val="00D4780B"/>
    <w:rsid w:val="00D47EB3"/>
    <w:rsid w:val="00D47F7D"/>
    <w:rsid w:val="00D5060D"/>
    <w:rsid w:val="00D50A43"/>
    <w:rsid w:val="00D50DF4"/>
    <w:rsid w:val="00D51532"/>
    <w:rsid w:val="00D5171A"/>
    <w:rsid w:val="00D51AD3"/>
    <w:rsid w:val="00D5234C"/>
    <w:rsid w:val="00D52AFB"/>
    <w:rsid w:val="00D52B5C"/>
    <w:rsid w:val="00D534D4"/>
    <w:rsid w:val="00D53D58"/>
    <w:rsid w:val="00D53EA1"/>
    <w:rsid w:val="00D555F5"/>
    <w:rsid w:val="00D5588E"/>
    <w:rsid w:val="00D55AB1"/>
    <w:rsid w:val="00D55EFD"/>
    <w:rsid w:val="00D55F10"/>
    <w:rsid w:val="00D56789"/>
    <w:rsid w:val="00D56C6E"/>
    <w:rsid w:val="00D56F83"/>
    <w:rsid w:val="00D572BC"/>
    <w:rsid w:val="00D5735D"/>
    <w:rsid w:val="00D578D8"/>
    <w:rsid w:val="00D60251"/>
    <w:rsid w:val="00D602C4"/>
    <w:rsid w:val="00D60651"/>
    <w:rsid w:val="00D6137C"/>
    <w:rsid w:val="00D61CAF"/>
    <w:rsid w:val="00D6254A"/>
    <w:rsid w:val="00D62AD3"/>
    <w:rsid w:val="00D62F93"/>
    <w:rsid w:val="00D630AC"/>
    <w:rsid w:val="00D63243"/>
    <w:rsid w:val="00D632A4"/>
    <w:rsid w:val="00D638BC"/>
    <w:rsid w:val="00D6505E"/>
    <w:rsid w:val="00D653D0"/>
    <w:rsid w:val="00D65431"/>
    <w:rsid w:val="00D6587E"/>
    <w:rsid w:val="00D65A4F"/>
    <w:rsid w:val="00D65B3F"/>
    <w:rsid w:val="00D66513"/>
    <w:rsid w:val="00D6662E"/>
    <w:rsid w:val="00D66AC6"/>
    <w:rsid w:val="00D66BA7"/>
    <w:rsid w:val="00D678B4"/>
    <w:rsid w:val="00D67DA1"/>
    <w:rsid w:val="00D70213"/>
    <w:rsid w:val="00D706D3"/>
    <w:rsid w:val="00D709AF"/>
    <w:rsid w:val="00D70F9D"/>
    <w:rsid w:val="00D71506"/>
    <w:rsid w:val="00D715A8"/>
    <w:rsid w:val="00D71978"/>
    <w:rsid w:val="00D719F4"/>
    <w:rsid w:val="00D71CB7"/>
    <w:rsid w:val="00D7224D"/>
    <w:rsid w:val="00D7266E"/>
    <w:rsid w:val="00D72678"/>
    <w:rsid w:val="00D72B0F"/>
    <w:rsid w:val="00D73C02"/>
    <w:rsid w:val="00D73E64"/>
    <w:rsid w:val="00D74BD8"/>
    <w:rsid w:val="00D7547D"/>
    <w:rsid w:val="00D75A74"/>
    <w:rsid w:val="00D75C3C"/>
    <w:rsid w:val="00D75D0F"/>
    <w:rsid w:val="00D75E46"/>
    <w:rsid w:val="00D76027"/>
    <w:rsid w:val="00D76A1D"/>
    <w:rsid w:val="00D76D30"/>
    <w:rsid w:val="00D77249"/>
    <w:rsid w:val="00D77894"/>
    <w:rsid w:val="00D7798C"/>
    <w:rsid w:val="00D77F31"/>
    <w:rsid w:val="00D800B7"/>
    <w:rsid w:val="00D8035E"/>
    <w:rsid w:val="00D80D8B"/>
    <w:rsid w:val="00D80EBC"/>
    <w:rsid w:val="00D812BE"/>
    <w:rsid w:val="00D816C9"/>
    <w:rsid w:val="00D817C0"/>
    <w:rsid w:val="00D81863"/>
    <w:rsid w:val="00D81EAF"/>
    <w:rsid w:val="00D82247"/>
    <w:rsid w:val="00D825B8"/>
    <w:rsid w:val="00D82689"/>
    <w:rsid w:val="00D829BE"/>
    <w:rsid w:val="00D82B39"/>
    <w:rsid w:val="00D82BF3"/>
    <w:rsid w:val="00D8313A"/>
    <w:rsid w:val="00D83253"/>
    <w:rsid w:val="00D83CF1"/>
    <w:rsid w:val="00D84460"/>
    <w:rsid w:val="00D849C6"/>
    <w:rsid w:val="00D856E1"/>
    <w:rsid w:val="00D857C8"/>
    <w:rsid w:val="00D8582B"/>
    <w:rsid w:val="00D85891"/>
    <w:rsid w:val="00D85CEE"/>
    <w:rsid w:val="00D864BD"/>
    <w:rsid w:val="00D871F7"/>
    <w:rsid w:val="00D878CC"/>
    <w:rsid w:val="00D87F27"/>
    <w:rsid w:val="00D900F7"/>
    <w:rsid w:val="00D90441"/>
    <w:rsid w:val="00D9151E"/>
    <w:rsid w:val="00D916CC"/>
    <w:rsid w:val="00D91C2E"/>
    <w:rsid w:val="00D92605"/>
    <w:rsid w:val="00D92B01"/>
    <w:rsid w:val="00D92CF4"/>
    <w:rsid w:val="00D9327E"/>
    <w:rsid w:val="00D9363E"/>
    <w:rsid w:val="00D93A16"/>
    <w:rsid w:val="00D9484A"/>
    <w:rsid w:val="00D94BB6"/>
    <w:rsid w:val="00D94E2C"/>
    <w:rsid w:val="00D94EC7"/>
    <w:rsid w:val="00D95699"/>
    <w:rsid w:val="00D95914"/>
    <w:rsid w:val="00D95A67"/>
    <w:rsid w:val="00D95AE5"/>
    <w:rsid w:val="00D95E44"/>
    <w:rsid w:val="00D96004"/>
    <w:rsid w:val="00D96BAD"/>
    <w:rsid w:val="00D96BCA"/>
    <w:rsid w:val="00D96E9D"/>
    <w:rsid w:val="00D971C0"/>
    <w:rsid w:val="00D971EF"/>
    <w:rsid w:val="00D97C06"/>
    <w:rsid w:val="00D97C0D"/>
    <w:rsid w:val="00D97F8F"/>
    <w:rsid w:val="00D97FDD"/>
    <w:rsid w:val="00DA0055"/>
    <w:rsid w:val="00DA21A3"/>
    <w:rsid w:val="00DA2804"/>
    <w:rsid w:val="00DA2B07"/>
    <w:rsid w:val="00DA2D34"/>
    <w:rsid w:val="00DA4858"/>
    <w:rsid w:val="00DA4B60"/>
    <w:rsid w:val="00DA4BC1"/>
    <w:rsid w:val="00DA4C80"/>
    <w:rsid w:val="00DA5103"/>
    <w:rsid w:val="00DA55AC"/>
    <w:rsid w:val="00DA598F"/>
    <w:rsid w:val="00DA5D33"/>
    <w:rsid w:val="00DA603E"/>
    <w:rsid w:val="00DA6454"/>
    <w:rsid w:val="00DA6455"/>
    <w:rsid w:val="00DA683F"/>
    <w:rsid w:val="00DA6E02"/>
    <w:rsid w:val="00DA711D"/>
    <w:rsid w:val="00DA74B6"/>
    <w:rsid w:val="00DA7762"/>
    <w:rsid w:val="00DA79A8"/>
    <w:rsid w:val="00DA7C99"/>
    <w:rsid w:val="00DA7E64"/>
    <w:rsid w:val="00DB01E0"/>
    <w:rsid w:val="00DB06CA"/>
    <w:rsid w:val="00DB0DB2"/>
    <w:rsid w:val="00DB1C92"/>
    <w:rsid w:val="00DB2235"/>
    <w:rsid w:val="00DB2399"/>
    <w:rsid w:val="00DB3AB9"/>
    <w:rsid w:val="00DB47EC"/>
    <w:rsid w:val="00DB4A83"/>
    <w:rsid w:val="00DB513B"/>
    <w:rsid w:val="00DB5294"/>
    <w:rsid w:val="00DB59D2"/>
    <w:rsid w:val="00DB67C1"/>
    <w:rsid w:val="00DB683A"/>
    <w:rsid w:val="00DB6D99"/>
    <w:rsid w:val="00DB6FB2"/>
    <w:rsid w:val="00DC01AA"/>
    <w:rsid w:val="00DC022A"/>
    <w:rsid w:val="00DC02E4"/>
    <w:rsid w:val="00DC0930"/>
    <w:rsid w:val="00DC0C43"/>
    <w:rsid w:val="00DC0F47"/>
    <w:rsid w:val="00DC10DB"/>
    <w:rsid w:val="00DC1DA2"/>
    <w:rsid w:val="00DC1FB6"/>
    <w:rsid w:val="00DC20D6"/>
    <w:rsid w:val="00DC25E2"/>
    <w:rsid w:val="00DC316C"/>
    <w:rsid w:val="00DC35FD"/>
    <w:rsid w:val="00DC39B1"/>
    <w:rsid w:val="00DC3D3D"/>
    <w:rsid w:val="00DC4A14"/>
    <w:rsid w:val="00DC50B2"/>
    <w:rsid w:val="00DC57B4"/>
    <w:rsid w:val="00DC6054"/>
    <w:rsid w:val="00DC6070"/>
    <w:rsid w:val="00DC6A49"/>
    <w:rsid w:val="00DC6C0E"/>
    <w:rsid w:val="00DC7830"/>
    <w:rsid w:val="00DD045B"/>
    <w:rsid w:val="00DD0CAB"/>
    <w:rsid w:val="00DD1053"/>
    <w:rsid w:val="00DD11BF"/>
    <w:rsid w:val="00DD1280"/>
    <w:rsid w:val="00DD14F1"/>
    <w:rsid w:val="00DD1C6A"/>
    <w:rsid w:val="00DD1D00"/>
    <w:rsid w:val="00DD1EFF"/>
    <w:rsid w:val="00DD20B1"/>
    <w:rsid w:val="00DD2236"/>
    <w:rsid w:val="00DD22E5"/>
    <w:rsid w:val="00DD2B54"/>
    <w:rsid w:val="00DD2C46"/>
    <w:rsid w:val="00DD2C51"/>
    <w:rsid w:val="00DD2C74"/>
    <w:rsid w:val="00DD2FDE"/>
    <w:rsid w:val="00DD3164"/>
    <w:rsid w:val="00DD31B4"/>
    <w:rsid w:val="00DD3457"/>
    <w:rsid w:val="00DD3B8C"/>
    <w:rsid w:val="00DD3DD1"/>
    <w:rsid w:val="00DD4070"/>
    <w:rsid w:val="00DD40DC"/>
    <w:rsid w:val="00DD44ED"/>
    <w:rsid w:val="00DD48DF"/>
    <w:rsid w:val="00DD5BCB"/>
    <w:rsid w:val="00DD6166"/>
    <w:rsid w:val="00DD691D"/>
    <w:rsid w:val="00DD75B8"/>
    <w:rsid w:val="00DD7D4D"/>
    <w:rsid w:val="00DD7E2E"/>
    <w:rsid w:val="00DE01C7"/>
    <w:rsid w:val="00DE027F"/>
    <w:rsid w:val="00DE04DD"/>
    <w:rsid w:val="00DE07BA"/>
    <w:rsid w:val="00DE0A01"/>
    <w:rsid w:val="00DE0E82"/>
    <w:rsid w:val="00DE11E5"/>
    <w:rsid w:val="00DE144E"/>
    <w:rsid w:val="00DE1485"/>
    <w:rsid w:val="00DE17F7"/>
    <w:rsid w:val="00DE1924"/>
    <w:rsid w:val="00DE21D3"/>
    <w:rsid w:val="00DE2B4B"/>
    <w:rsid w:val="00DE37F8"/>
    <w:rsid w:val="00DE3DC9"/>
    <w:rsid w:val="00DE3DCB"/>
    <w:rsid w:val="00DE484C"/>
    <w:rsid w:val="00DE4F08"/>
    <w:rsid w:val="00DE5424"/>
    <w:rsid w:val="00DE54B0"/>
    <w:rsid w:val="00DE58F4"/>
    <w:rsid w:val="00DE5975"/>
    <w:rsid w:val="00DE5A22"/>
    <w:rsid w:val="00DE5C62"/>
    <w:rsid w:val="00DE5CCD"/>
    <w:rsid w:val="00DE5EBE"/>
    <w:rsid w:val="00DE6A94"/>
    <w:rsid w:val="00DE6E61"/>
    <w:rsid w:val="00DE7360"/>
    <w:rsid w:val="00DE7944"/>
    <w:rsid w:val="00DE7AFA"/>
    <w:rsid w:val="00DE7B13"/>
    <w:rsid w:val="00DE7C49"/>
    <w:rsid w:val="00DE7F80"/>
    <w:rsid w:val="00DF00D4"/>
    <w:rsid w:val="00DF017C"/>
    <w:rsid w:val="00DF0C75"/>
    <w:rsid w:val="00DF0DAE"/>
    <w:rsid w:val="00DF2308"/>
    <w:rsid w:val="00DF244A"/>
    <w:rsid w:val="00DF24E2"/>
    <w:rsid w:val="00DF26F4"/>
    <w:rsid w:val="00DF2C94"/>
    <w:rsid w:val="00DF2FC1"/>
    <w:rsid w:val="00DF3143"/>
    <w:rsid w:val="00DF398D"/>
    <w:rsid w:val="00DF417C"/>
    <w:rsid w:val="00DF45A8"/>
    <w:rsid w:val="00DF45D6"/>
    <w:rsid w:val="00DF5155"/>
    <w:rsid w:val="00DF56B3"/>
    <w:rsid w:val="00DF588D"/>
    <w:rsid w:val="00DF60E3"/>
    <w:rsid w:val="00DF6AA3"/>
    <w:rsid w:val="00DF6BCA"/>
    <w:rsid w:val="00DF6CE0"/>
    <w:rsid w:val="00DF6D18"/>
    <w:rsid w:val="00DF7715"/>
    <w:rsid w:val="00DF7B87"/>
    <w:rsid w:val="00DF7E60"/>
    <w:rsid w:val="00E001B4"/>
    <w:rsid w:val="00E00C22"/>
    <w:rsid w:val="00E01120"/>
    <w:rsid w:val="00E01722"/>
    <w:rsid w:val="00E01A3D"/>
    <w:rsid w:val="00E01B7E"/>
    <w:rsid w:val="00E02825"/>
    <w:rsid w:val="00E03322"/>
    <w:rsid w:val="00E0398C"/>
    <w:rsid w:val="00E03CD4"/>
    <w:rsid w:val="00E03D91"/>
    <w:rsid w:val="00E0410F"/>
    <w:rsid w:val="00E043CE"/>
    <w:rsid w:val="00E044F7"/>
    <w:rsid w:val="00E04626"/>
    <w:rsid w:val="00E04984"/>
    <w:rsid w:val="00E04ADF"/>
    <w:rsid w:val="00E04FD3"/>
    <w:rsid w:val="00E0567B"/>
    <w:rsid w:val="00E06995"/>
    <w:rsid w:val="00E0753F"/>
    <w:rsid w:val="00E07B71"/>
    <w:rsid w:val="00E07CA7"/>
    <w:rsid w:val="00E10734"/>
    <w:rsid w:val="00E109AB"/>
    <w:rsid w:val="00E10C65"/>
    <w:rsid w:val="00E10D33"/>
    <w:rsid w:val="00E1157C"/>
    <w:rsid w:val="00E117D0"/>
    <w:rsid w:val="00E11AA4"/>
    <w:rsid w:val="00E11DBC"/>
    <w:rsid w:val="00E124A3"/>
    <w:rsid w:val="00E12678"/>
    <w:rsid w:val="00E126BF"/>
    <w:rsid w:val="00E1276F"/>
    <w:rsid w:val="00E128DB"/>
    <w:rsid w:val="00E12FB0"/>
    <w:rsid w:val="00E132CA"/>
    <w:rsid w:val="00E1349E"/>
    <w:rsid w:val="00E1351B"/>
    <w:rsid w:val="00E13C93"/>
    <w:rsid w:val="00E13D51"/>
    <w:rsid w:val="00E15099"/>
    <w:rsid w:val="00E15362"/>
    <w:rsid w:val="00E162A1"/>
    <w:rsid w:val="00E162E0"/>
    <w:rsid w:val="00E16666"/>
    <w:rsid w:val="00E166E3"/>
    <w:rsid w:val="00E16CCF"/>
    <w:rsid w:val="00E173E1"/>
    <w:rsid w:val="00E17887"/>
    <w:rsid w:val="00E179F0"/>
    <w:rsid w:val="00E17A60"/>
    <w:rsid w:val="00E20075"/>
    <w:rsid w:val="00E208D9"/>
    <w:rsid w:val="00E2095E"/>
    <w:rsid w:val="00E20B8D"/>
    <w:rsid w:val="00E20CAA"/>
    <w:rsid w:val="00E20D99"/>
    <w:rsid w:val="00E21B12"/>
    <w:rsid w:val="00E21D51"/>
    <w:rsid w:val="00E22139"/>
    <w:rsid w:val="00E225FD"/>
    <w:rsid w:val="00E22611"/>
    <w:rsid w:val="00E22BD5"/>
    <w:rsid w:val="00E22E91"/>
    <w:rsid w:val="00E2361D"/>
    <w:rsid w:val="00E236E3"/>
    <w:rsid w:val="00E23A47"/>
    <w:rsid w:val="00E23A7F"/>
    <w:rsid w:val="00E23B57"/>
    <w:rsid w:val="00E23C8E"/>
    <w:rsid w:val="00E23EE0"/>
    <w:rsid w:val="00E25432"/>
    <w:rsid w:val="00E2573E"/>
    <w:rsid w:val="00E258BB"/>
    <w:rsid w:val="00E25B33"/>
    <w:rsid w:val="00E25D4A"/>
    <w:rsid w:val="00E2744D"/>
    <w:rsid w:val="00E274C6"/>
    <w:rsid w:val="00E27BCE"/>
    <w:rsid w:val="00E300B9"/>
    <w:rsid w:val="00E30290"/>
    <w:rsid w:val="00E30A86"/>
    <w:rsid w:val="00E314B1"/>
    <w:rsid w:val="00E31542"/>
    <w:rsid w:val="00E316E4"/>
    <w:rsid w:val="00E318BE"/>
    <w:rsid w:val="00E32A4A"/>
    <w:rsid w:val="00E32CBB"/>
    <w:rsid w:val="00E33138"/>
    <w:rsid w:val="00E3319A"/>
    <w:rsid w:val="00E343C4"/>
    <w:rsid w:val="00E346B9"/>
    <w:rsid w:val="00E347E2"/>
    <w:rsid w:val="00E34CD6"/>
    <w:rsid w:val="00E35834"/>
    <w:rsid w:val="00E3599E"/>
    <w:rsid w:val="00E35E96"/>
    <w:rsid w:val="00E36438"/>
    <w:rsid w:val="00E36A99"/>
    <w:rsid w:val="00E36D92"/>
    <w:rsid w:val="00E37012"/>
    <w:rsid w:val="00E375EF"/>
    <w:rsid w:val="00E376AD"/>
    <w:rsid w:val="00E377BF"/>
    <w:rsid w:val="00E37DC0"/>
    <w:rsid w:val="00E4089A"/>
    <w:rsid w:val="00E40ABB"/>
    <w:rsid w:val="00E40FC8"/>
    <w:rsid w:val="00E4105A"/>
    <w:rsid w:val="00E41195"/>
    <w:rsid w:val="00E411E2"/>
    <w:rsid w:val="00E411EA"/>
    <w:rsid w:val="00E41DA6"/>
    <w:rsid w:val="00E41F74"/>
    <w:rsid w:val="00E42379"/>
    <w:rsid w:val="00E4260D"/>
    <w:rsid w:val="00E4288C"/>
    <w:rsid w:val="00E42A10"/>
    <w:rsid w:val="00E42F8D"/>
    <w:rsid w:val="00E43535"/>
    <w:rsid w:val="00E43569"/>
    <w:rsid w:val="00E43CE3"/>
    <w:rsid w:val="00E43DF4"/>
    <w:rsid w:val="00E441E8"/>
    <w:rsid w:val="00E447C9"/>
    <w:rsid w:val="00E44BE2"/>
    <w:rsid w:val="00E453A1"/>
    <w:rsid w:val="00E45A8F"/>
    <w:rsid w:val="00E46B16"/>
    <w:rsid w:val="00E4766C"/>
    <w:rsid w:val="00E47713"/>
    <w:rsid w:val="00E47F37"/>
    <w:rsid w:val="00E5012B"/>
    <w:rsid w:val="00E51055"/>
    <w:rsid w:val="00E5133E"/>
    <w:rsid w:val="00E51531"/>
    <w:rsid w:val="00E5233E"/>
    <w:rsid w:val="00E5304B"/>
    <w:rsid w:val="00E531B5"/>
    <w:rsid w:val="00E5347D"/>
    <w:rsid w:val="00E53606"/>
    <w:rsid w:val="00E549C6"/>
    <w:rsid w:val="00E54AF7"/>
    <w:rsid w:val="00E55666"/>
    <w:rsid w:val="00E55FD0"/>
    <w:rsid w:val="00E56545"/>
    <w:rsid w:val="00E56626"/>
    <w:rsid w:val="00E56688"/>
    <w:rsid w:val="00E567F4"/>
    <w:rsid w:val="00E56DA6"/>
    <w:rsid w:val="00E5728E"/>
    <w:rsid w:val="00E57560"/>
    <w:rsid w:val="00E576A2"/>
    <w:rsid w:val="00E6038A"/>
    <w:rsid w:val="00E6043A"/>
    <w:rsid w:val="00E60A54"/>
    <w:rsid w:val="00E60AFE"/>
    <w:rsid w:val="00E60C4A"/>
    <w:rsid w:val="00E61120"/>
    <w:rsid w:val="00E61F81"/>
    <w:rsid w:val="00E6215C"/>
    <w:rsid w:val="00E62668"/>
    <w:rsid w:val="00E62D09"/>
    <w:rsid w:val="00E639DE"/>
    <w:rsid w:val="00E63C9F"/>
    <w:rsid w:val="00E63F9E"/>
    <w:rsid w:val="00E64050"/>
    <w:rsid w:val="00E64EDF"/>
    <w:rsid w:val="00E654F1"/>
    <w:rsid w:val="00E65AFF"/>
    <w:rsid w:val="00E65CD4"/>
    <w:rsid w:val="00E65D43"/>
    <w:rsid w:val="00E665AC"/>
    <w:rsid w:val="00E66917"/>
    <w:rsid w:val="00E66ABD"/>
    <w:rsid w:val="00E66E62"/>
    <w:rsid w:val="00E6728F"/>
    <w:rsid w:val="00E67406"/>
    <w:rsid w:val="00E6746F"/>
    <w:rsid w:val="00E67D4A"/>
    <w:rsid w:val="00E70184"/>
    <w:rsid w:val="00E7062C"/>
    <w:rsid w:val="00E70748"/>
    <w:rsid w:val="00E70B47"/>
    <w:rsid w:val="00E70BF9"/>
    <w:rsid w:val="00E70E16"/>
    <w:rsid w:val="00E70EE3"/>
    <w:rsid w:val="00E71159"/>
    <w:rsid w:val="00E71A51"/>
    <w:rsid w:val="00E7224C"/>
    <w:rsid w:val="00E72C90"/>
    <w:rsid w:val="00E73489"/>
    <w:rsid w:val="00E7348B"/>
    <w:rsid w:val="00E735C9"/>
    <w:rsid w:val="00E73953"/>
    <w:rsid w:val="00E73BFB"/>
    <w:rsid w:val="00E73DE4"/>
    <w:rsid w:val="00E73FB1"/>
    <w:rsid w:val="00E7454D"/>
    <w:rsid w:val="00E74666"/>
    <w:rsid w:val="00E748EA"/>
    <w:rsid w:val="00E74B79"/>
    <w:rsid w:val="00E74E6F"/>
    <w:rsid w:val="00E75234"/>
    <w:rsid w:val="00E75658"/>
    <w:rsid w:val="00E75A6F"/>
    <w:rsid w:val="00E76083"/>
    <w:rsid w:val="00E76152"/>
    <w:rsid w:val="00E7656A"/>
    <w:rsid w:val="00E76966"/>
    <w:rsid w:val="00E76B75"/>
    <w:rsid w:val="00E77048"/>
    <w:rsid w:val="00E7765A"/>
    <w:rsid w:val="00E776AD"/>
    <w:rsid w:val="00E77C68"/>
    <w:rsid w:val="00E77EA1"/>
    <w:rsid w:val="00E8003E"/>
    <w:rsid w:val="00E806B1"/>
    <w:rsid w:val="00E80991"/>
    <w:rsid w:val="00E80D80"/>
    <w:rsid w:val="00E8112E"/>
    <w:rsid w:val="00E812CB"/>
    <w:rsid w:val="00E8182C"/>
    <w:rsid w:val="00E81BB8"/>
    <w:rsid w:val="00E81D88"/>
    <w:rsid w:val="00E82155"/>
    <w:rsid w:val="00E82671"/>
    <w:rsid w:val="00E82CE9"/>
    <w:rsid w:val="00E83162"/>
    <w:rsid w:val="00E836CA"/>
    <w:rsid w:val="00E83E7B"/>
    <w:rsid w:val="00E84633"/>
    <w:rsid w:val="00E8470E"/>
    <w:rsid w:val="00E84AD7"/>
    <w:rsid w:val="00E84FAF"/>
    <w:rsid w:val="00E85314"/>
    <w:rsid w:val="00E85EC0"/>
    <w:rsid w:val="00E861EE"/>
    <w:rsid w:val="00E8649D"/>
    <w:rsid w:val="00E86857"/>
    <w:rsid w:val="00E87015"/>
    <w:rsid w:val="00E87189"/>
    <w:rsid w:val="00E874F0"/>
    <w:rsid w:val="00E8798F"/>
    <w:rsid w:val="00E87ED8"/>
    <w:rsid w:val="00E90104"/>
    <w:rsid w:val="00E902D4"/>
    <w:rsid w:val="00E90CE0"/>
    <w:rsid w:val="00E91644"/>
    <w:rsid w:val="00E918EB"/>
    <w:rsid w:val="00E91966"/>
    <w:rsid w:val="00E9196B"/>
    <w:rsid w:val="00E91974"/>
    <w:rsid w:val="00E91AB5"/>
    <w:rsid w:val="00E91B84"/>
    <w:rsid w:val="00E91C39"/>
    <w:rsid w:val="00E91E44"/>
    <w:rsid w:val="00E92067"/>
    <w:rsid w:val="00E926F1"/>
    <w:rsid w:val="00E92D25"/>
    <w:rsid w:val="00E93291"/>
    <w:rsid w:val="00E93C15"/>
    <w:rsid w:val="00E93CC6"/>
    <w:rsid w:val="00E93D5C"/>
    <w:rsid w:val="00E93E93"/>
    <w:rsid w:val="00E941CE"/>
    <w:rsid w:val="00E94BA0"/>
    <w:rsid w:val="00E94C11"/>
    <w:rsid w:val="00E95AB1"/>
    <w:rsid w:val="00E95B57"/>
    <w:rsid w:val="00E96C62"/>
    <w:rsid w:val="00E96CD1"/>
    <w:rsid w:val="00E96FBD"/>
    <w:rsid w:val="00E97782"/>
    <w:rsid w:val="00E97BD1"/>
    <w:rsid w:val="00EA03E7"/>
    <w:rsid w:val="00EA0B90"/>
    <w:rsid w:val="00EA0DB1"/>
    <w:rsid w:val="00EA14E1"/>
    <w:rsid w:val="00EA1500"/>
    <w:rsid w:val="00EA176A"/>
    <w:rsid w:val="00EA1B35"/>
    <w:rsid w:val="00EA1BE1"/>
    <w:rsid w:val="00EA1C3E"/>
    <w:rsid w:val="00EA1FBB"/>
    <w:rsid w:val="00EA21B5"/>
    <w:rsid w:val="00EA2FD7"/>
    <w:rsid w:val="00EA32A9"/>
    <w:rsid w:val="00EA3523"/>
    <w:rsid w:val="00EA3C1C"/>
    <w:rsid w:val="00EA44BC"/>
    <w:rsid w:val="00EA4DA5"/>
    <w:rsid w:val="00EA58F5"/>
    <w:rsid w:val="00EA600A"/>
    <w:rsid w:val="00EA62A3"/>
    <w:rsid w:val="00EA6B9B"/>
    <w:rsid w:val="00EA6CCE"/>
    <w:rsid w:val="00EA6FF5"/>
    <w:rsid w:val="00EA70A1"/>
    <w:rsid w:val="00EA7542"/>
    <w:rsid w:val="00EA7B13"/>
    <w:rsid w:val="00EB0109"/>
    <w:rsid w:val="00EB01F2"/>
    <w:rsid w:val="00EB050B"/>
    <w:rsid w:val="00EB07C5"/>
    <w:rsid w:val="00EB0F6B"/>
    <w:rsid w:val="00EB1301"/>
    <w:rsid w:val="00EB1757"/>
    <w:rsid w:val="00EB1A58"/>
    <w:rsid w:val="00EB1DF2"/>
    <w:rsid w:val="00EB21B0"/>
    <w:rsid w:val="00EB21EA"/>
    <w:rsid w:val="00EB2384"/>
    <w:rsid w:val="00EB2490"/>
    <w:rsid w:val="00EB28BD"/>
    <w:rsid w:val="00EB294C"/>
    <w:rsid w:val="00EB29CD"/>
    <w:rsid w:val="00EB2A78"/>
    <w:rsid w:val="00EB31D0"/>
    <w:rsid w:val="00EB3A3F"/>
    <w:rsid w:val="00EB45BD"/>
    <w:rsid w:val="00EB4685"/>
    <w:rsid w:val="00EB4978"/>
    <w:rsid w:val="00EB58DD"/>
    <w:rsid w:val="00EB6199"/>
    <w:rsid w:val="00EB67AD"/>
    <w:rsid w:val="00EB68A5"/>
    <w:rsid w:val="00EB6C3E"/>
    <w:rsid w:val="00EB7A7F"/>
    <w:rsid w:val="00EB7DBC"/>
    <w:rsid w:val="00EC0456"/>
    <w:rsid w:val="00EC068B"/>
    <w:rsid w:val="00EC079B"/>
    <w:rsid w:val="00EC08CB"/>
    <w:rsid w:val="00EC08FA"/>
    <w:rsid w:val="00EC0BBF"/>
    <w:rsid w:val="00EC10C7"/>
    <w:rsid w:val="00EC13E4"/>
    <w:rsid w:val="00EC19A5"/>
    <w:rsid w:val="00EC2012"/>
    <w:rsid w:val="00EC2149"/>
    <w:rsid w:val="00EC2566"/>
    <w:rsid w:val="00EC2585"/>
    <w:rsid w:val="00EC2990"/>
    <w:rsid w:val="00EC43D7"/>
    <w:rsid w:val="00EC4591"/>
    <w:rsid w:val="00EC463A"/>
    <w:rsid w:val="00EC475B"/>
    <w:rsid w:val="00EC4852"/>
    <w:rsid w:val="00EC4965"/>
    <w:rsid w:val="00EC4BFE"/>
    <w:rsid w:val="00EC4D45"/>
    <w:rsid w:val="00EC4D96"/>
    <w:rsid w:val="00EC4FBF"/>
    <w:rsid w:val="00EC52AA"/>
    <w:rsid w:val="00EC5C9C"/>
    <w:rsid w:val="00EC6371"/>
    <w:rsid w:val="00EC75B2"/>
    <w:rsid w:val="00EC7748"/>
    <w:rsid w:val="00EC774E"/>
    <w:rsid w:val="00EC79A1"/>
    <w:rsid w:val="00ED001A"/>
    <w:rsid w:val="00ED044F"/>
    <w:rsid w:val="00ED0939"/>
    <w:rsid w:val="00ED115B"/>
    <w:rsid w:val="00ED16CF"/>
    <w:rsid w:val="00ED1BB6"/>
    <w:rsid w:val="00ED1BDA"/>
    <w:rsid w:val="00ED1F60"/>
    <w:rsid w:val="00ED26F2"/>
    <w:rsid w:val="00ED275D"/>
    <w:rsid w:val="00ED2A8E"/>
    <w:rsid w:val="00ED2B5C"/>
    <w:rsid w:val="00ED3B35"/>
    <w:rsid w:val="00ED4647"/>
    <w:rsid w:val="00ED4C46"/>
    <w:rsid w:val="00ED4C47"/>
    <w:rsid w:val="00ED5284"/>
    <w:rsid w:val="00ED5CC7"/>
    <w:rsid w:val="00ED606B"/>
    <w:rsid w:val="00ED7623"/>
    <w:rsid w:val="00EE061F"/>
    <w:rsid w:val="00EE1AEB"/>
    <w:rsid w:val="00EE1CB5"/>
    <w:rsid w:val="00EE24FD"/>
    <w:rsid w:val="00EE3282"/>
    <w:rsid w:val="00EE32C5"/>
    <w:rsid w:val="00EE3318"/>
    <w:rsid w:val="00EE38F3"/>
    <w:rsid w:val="00EE3CEE"/>
    <w:rsid w:val="00EE3E61"/>
    <w:rsid w:val="00EE42B0"/>
    <w:rsid w:val="00EE4882"/>
    <w:rsid w:val="00EE48A4"/>
    <w:rsid w:val="00EE4A2E"/>
    <w:rsid w:val="00EE4C19"/>
    <w:rsid w:val="00EE4F46"/>
    <w:rsid w:val="00EE4FA2"/>
    <w:rsid w:val="00EE5007"/>
    <w:rsid w:val="00EE5846"/>
    <w:rsid w:val="00EE5ACD"/>
    <w:rsid w:val="00EE5ADF"/>
    <w:rsid w:val="00EE5DFB"/>
    <w:rsid w:val="00EE5E96"/>
    <w:rsid w:val="00EE5F69"/>
    <w:rsid w:val="00EE63F1"/>
    <w:rsid w:val="00EE6E02"/>
    <w:rsid w:val="00EE713D"/>
    <w:rsid w:val="00EE78B0"/>
    <w:rsid w:val="00EE7D92"/>
    <w:rsid w:val="00EF03AB"/>
    <w:rsid w:val="00EF063F"/>
    <w:rsid w:val="00EF0B9D"/>
    <w:rsid w:val="00EF0C40"/>
    <w:rsid w:val="00EF0F3A"/>
    <w:rsid w:val="00EF1D80"/>
    <w:rsid w:val="00EF2774"/>
    <w:rsid w:val="00EF2849"/>
    <w:rsid w:val="00EF288F"/>
    <w:rsid w:val="00EF2AFB"/>
    <w:rsid w:val="00EF35AE"/>
    <w:rsid w:val="00EF387E"/>
    <w:rsid w:val="00EF478C"/>
    <w:rsid w:val="00EF4921"/>
    <w:rsid w:val="00EF4D26"/>
    <w:rsid w:val="00EF5188"/>
    <w:rsid w:val="00EF5633"/>
    <w:rsid w:val="00EF5860"/>
    <w:rsid w:val="00EF5FBD"/>
    <w:rsid w:val="00EF666C"/>
    <w:rsid w:val="00EF698A"/>
    <w:rsid w:val="00EF6DFB"/>
    <w:rsid w:val="00EF728E"/>
    <w:rsid w:val="00EF72A8"/>
    <w:rsid w:val="00EF72FC"/>
    <w:rsid w:val="00EF735F"/>
    <w:rsid w:val="00EF7562"/>
    <w:rsid w:val="00EF77DA"/>
    <w:rsid w:val="00EF7C07"/>
    <w:rsid w:val="00F00043"/>
    <w:rsid w:val="00F00129"/>
    <w:rsid w:val="00F0071F"/>
    <w:rsid w:val="00F00988"/>
    <w:rsid w:val="00F01313"/>
    <w:rsid w:val="00F01471"/>
    <w:rsid w:val="00F01823"/>
    <w:rsid w:val="00F01C07"/>
    <w:rsid w:val="00F01E8D"/>
    <w:rsid w:val="00F02077"/>
    <w:rsid w:val="00F02344"/>
    <w:rsid w:val="00F0243D"/>
    <w:rsid w:val="00F02476"/>
    <w:rsid w:val="00F025A2"/>
    <w:rsid w:val="00F027D6"/>
    <w:rsid w:val="00F029FC"/>
    <w:rsid w:val="00F02D76"/>
    <w:rsid w:val="00F02DBA"/>
    <w:rsid w:val="00F04BEA"/>
    <w:rsid w:val="00F04F0F"/>
    <w:rsid w:val="00F05666"/>
    <w:rsid w:val="00F058BA"/>
    <w:rsid w:val="00F05AE4"/>
    <w:rsid w:val="00F060EB"/>
    <w:rsid w:val="00F064A5"/>
    <w:rsid w:val="00F0651D"/>
    <w:rsid w:val="00F06ADA"/>
    <w:rsid w:val="00F072BE"/>
    <w:rsid w:val="00F075BE"/>
    <w:rsid w:val="00F07933"/>
    <w:rsid w:val="00F07FCE"/>
    <w:rsid w:val="00F102E9"/>
    <w:rsid w:val="00F1092D"/>
    <w:rsid w:val="00F10BB6"/>
    <w:rsid w:val="00F11113"/>
    <w:rsid w:val="00F11878"/>
    <w:rsid w:val="00F11E95"/>
    <w:rsid w:val="00F12366"/>
    <w:rsid w:val="00F125CB"/>
    <w:rsid w:val="00F12DA6"/>
    <w:rsid w:val="00F14143"/>
    <w:rsid w:val="00F14804"/>
    <w:rsid w:val="00F148D9"/>
    <w:rsid w:val="00F14C68"/>
    <w:rsid w:val="00F14C9B"/>
    <w:rsid w:val="00F15159"/>
    <w:rsid w:val="00F151DB"/>
    <w:rsid w:val="00F1539B"/>
    <w:rsid w:val="00F157D1"/>
    <w:rsid w:val="00F161E4"/>
    <w:rsid w:val="00F1628D"/>
    <w:rsid w:val="00F16760"/>
    <w:rsid w:val="00F16FAF"/>
    <w:rsid w:val="00F179A2"/>
    <w:rsid w:val="00F17A5F"/>
    <w:rsid w:val="00F200C5"/>
    <w:rsid w:val="00F20970"/>
    <w:rsid w:val="00F209C1"/>
    <w:rsid w:val="00F21388"/>
    <w:rsid w:val="00F220DE"/>
    <w:rsid w:val="00F2236D"/>
    <w:rsid w:val="00F224FF"/>
    <w:rsid w:val="00F22B33"/>
    <w:rsid w:val="00F232ED"/>
    <w:rsid w:val="00F238A6"/>
    <w:rsid w:val="00F23DE1"/>
    <w:rsid w:val="00F23EB2"/>
    <w:rsid w:val="00F24064"/>
    <w:rsid w:val="00F24969"/>
    <w:rsid w:val="00F25107"/>
    <w:rsid w:val="00F266A8"/>
    <w:rsid w:val="00F26950"/>
    <w:rsid w:val="00F269F0"/>
    <w:rsid w:val="00F304F6"/>
    <w:rsid w:val="00F309EB"/>
    <w:rsid w:val="00F30A01"/>
    <w:rsid w:val="00F30AF9"/>
    <w:rsid w:val="00F30DB4"/>
    <w:rsid w:val="00F30E45"/>
    <w:rsid w:val="00F3208A"/>
    <w:rsid w:val="00F3255A"/>
    <w:rsid w:val="00F32AA8"/>
    <w:rsid w:val="00F32EA8"/>
    <w:rsid w:val="00F3344C"/>
    <w:rsid w:val="00F33C51"/>
    <w:rsid w:val="00F33CED"/>
    <w:rsid w:val="00F34238"/>
    <w:rsid w:val="00F34A42"/>
    <w:rsid w:val="00F34B86"/>
    <w:rsid w:val="00F34F66"/>
    <w:rsid w:val="00F355E7"/>
    <w:rsid w:val="00F35AFB"/>
    <w:rsid w:val="00F35BFA"/>
    <w:rsid w:val="00F36116"/>
    <w:rsid w:val="00F36341"/>
    <w:rsid w:val="00F3712B"/>
    <w:rsid w:val="00F371ED"/>
    <w:rsid w:val="00F373C8"/>
    <w:rsid w:val="00F37E24"/>
    <w:rsid w:val="00F401C6"/>
    <w:rsid w:val="00F408F8"/>
    <w:rsid w:val="00F40D28"/>
    <w:rsid w:val="00F41F3E"/>
    <w:rsid w:val="00F423CB"/>
    <w:rsid w:val="00F427B4"/>
    <w:rsid w:val="00F436C1"/>
    <w:rsid w:val="00F436F6"/>
    <w:rsid w:val="00F43F53"/>
    <w:rsid w:val="00F442EB"/>
    <w:rsid w:val="00F44B70"/>
    <w:rsid w:val="00F44E11"/>
    <w:rsid w:val="00F45155"/>
    <w:rsid w:val="00F4549A"/>
    <w:rsid w:val="00F45D12"/>
    <w:rsid w:val="00F45DE1"/>
    <w:rsid w:val="00F460B8"/>
    <w:rsid w:val="00F46474"/>
    <w:rsid w:val="00F46917"/>
    <w:rsid w:val="00F46B4B"/>
    <w:rsid w:val="00F46E51"/>
    <w:rsid w:val="00F47076"/>
    <w:rsid w:val="00F474B2"/>
    <w:rsid w:val="00F474DF"/>
    <w:rsid w:val="00F47633"/>
    <w:rsid w:val="00F47C4F"/>
    <w:rsid w:val="00F47D9C"/>
    <w:rsid w:val="00F50069"/>
    <w:rsid w:val="00F5079D"/>
    <w:rsid w:val="00F50F85"/>
    <w:rsid w:val="00F51063"/>
    <w:rsid w:val="00F51555"/>
    <w:rsid w:val="00F5174E"/>
    <w:rsid w:val="00F518CA"/>
    <w:rsid w:val="00F51AE7"/>
    <w:rsid w:val="00F51B7E"/>
    <w:rsid w:val="00F51C9A"/>
    <w:rsid w:val="00F51EDA"/>
    <w:rsid w:val="00F528AD"/>
    <w:rsid w:val="00F53243"/>
    <w:rsid w:val="00F53967"/>
    <w:rsid w:val="00F53A1A"/>
    <w:rsid w:val="00F5403F"/>
    <w:rsid w:val="00F54212"/>
    <w:rsid w:val="00F543A7"/>
    <w:rsid w:val="00F54630"/>
    <w:rsid w:val="00F547A7"/>
    <w:rsid w:val="00F55146"/>
    <w:rsid w:val="00F55BE2"/>
    <w:rsid w:val="00F55BE6"/>
    <w:rsid w:val="00F55D08"/>
    <w:rsid w:val="00F55E13"/>
    <w:rsid w:val="00F55F25"/>
    <w:rsid w:val="00F55F48"/>
    <w:rsid w:val="00F55F53"/>
    <w:rsid w:val="00F560F7"/>
    <w:rsid w:val="00F56884"/>
    <w:rsid w:val="00F56943"/>
    <w:rsid w:val="00F56A7C"/>
    <w:rsid w:val="00F5791E"/>
    <w:rsid w:val="00F57BC1"/>
    <w:rsid w:val="00F6101F"/>
    <w:rsid w:val="00F6107C"/>
    <w:rsid w:val="00F611D3"/>
    <w:rsid w:val="00F61309"/>
    <w:rsid w:val="00F615ED"/>
    <w:rsid w:val="00F6160D"/>
    <w:rsid w:val="00F618D4"/>
    <w:rsid w:val="00F618FA"/>
    <w:rsid w:val="00F61CEF"/>
    <w:rsid w:val="00F621AA"/>
    <w:rsid w:val="00F621CB"/>
    <w:rsid w:val="00F62C98"/>
    <w:rsid w:val="00F62D64"/>
    <w:rsid w:val="00F62D76"/>
    <w:rsid w:val="00F6325D"/>
    <w:rsid w:val="00F642F8"/>
    <w:rsid w:val="00F64535"/>
    <w:rsid w:val="00F64577"/>
    <w:rsid w:val="00F647A0"/>
    <w:rsid w:val="00F64964"/>
    <w:rsid w:val="00F64A69"/>
    <w:rsid w:val="00F6559B"/>
    <w:rsid w:val="00F65DFC"/>
    <w:rsid w:val="00F66684"/>
    <w:rsid w:val="00F669A5"/>
    <w:rsid w:val="00F678D8"/>
    <w:rsid w:val="00F6793E"/>
    <w:rsid w:val="00F679EF"/>
    <w:rsid w:val="00F702D6"/>
    <w:rsid w:val="00F70499"/>
    <w:rsid w:val="00F704B8"/>
    <w:rsid w:val="00F70A2E"/>
    <w:rsid w:val="00F711B9"/>
    <w:rsid w:val="00F714C9"/>
    <w:rsid w:val="00F72421"/>
    <w:rsid w:val="00F7269B"/>
    <w:rsid w:val="00F72ED1"/>
    <w:rsid w:val="00F733A5"/>
    <w:rsid w:val="00F73F1C"/>
    <w:rsid w:val="00F7443B"/>
    <w:rsid w:val="00F7464E"/>
    <w:rsid w:val="00F74871"/>
    <w:rsid w:val="00F74AD4"/>
    <w:rsid w:val="00F74DC8"/>
    <w:rsid w:val="00F74E4D"/>
    <w:rsid w:val="00F7556C"/>
    <w:rsid w:val="00F75797"/>
    <w:rsid w:val="00F76406"/>
    <w:rsid w:val="00F76CEA"/>
    <w:rsid w:val="00F76DFD"/>
    <w:rsid w:val="00F77627"/>
    <w:rsid w:val="00F77CA5"/>
    <w:rsid w:val="00F77E7B"/>
    <w:rsid w:val="00F80BE8"/>
    <w:rsid w:val="00F80CA7"/>
    <w:rsid w:val="00F811C3"/>
    <w:rsid w:val="00F81382"/>
    <w:rsid w:val="00F814D5"/>
    <w:rsid w:val="00F818F1"/>
    <w:rsid w:val="00F8196C"/>
    <w:rsid w:val="00F823CB"/>
    <w:rsid w:val="00F8269F"/>
    <w:rsid w:val="00F82A62"/>
    <w:rsid w:val="00F82AA7"/>
    <w:rsid w:val="00F82CB3"/>
    <w:rsid w:val="00F82CF4"/>
    <w:rsid w:val="00F82D5A"/>
    <w:rsid w:val="00F83BD5"/>
    <w:rsid w:val="00F8496B"/>
    <w:rsid w:val="00F84FE4"/>
    <w:rsid w:val="00F852CB"/>
    <w:rsid w:val="00F868A6"/>
    <w:rsid w:val="00F86D3C"/>
    <w:rsid w:val="00F86D72"/>
    <w:rsid w:val="00F86E44"/>
    <w:rsid w:val="00F872D5"/>
    <w:rsid w:val="00F878C8"/>
    <w:rsid w:val="00F87C27"/>
    <w:rsid w:val="00F90115"/>
    <w:rsid w:val="00F903E1"/>
    <w:rsid w:val="00F90613"/>
    <w:rsid w:val="00F90650"/>
    <w:rsid w:val="00F90954"/>
    <w:rsid w:val="00F90C25"/>
    <w:rsid w:val="00F90CC3"/>
    <w:rsid w:val="00F9136D"/>
    <w:rsid w:val="00F91BBE"/>
    <w:rsid w:val="00F91E87"/>
    <w:rsid w:val="00F91F38"/>
    <w:rsid w:val="00F92907"/>
    <w:rsid w:val="00F9290E"/>
    <w:rsid w:val="00F92DD8"/>
    <w:rsid w:val="00F92E62"/>
    <w:rsid w:val="00F936A1"/>
    <w:rsid w:val="00F93C6A"/>
    <w:rsid w:val="00F94039"/>
    <w:rsid w:val="00F9411B"/>
    <w:rsid w:val="00F94191"/>
    <w:rsid w:val="00F943CB"/>
    <w:rsid w:val="00F946C3"/>
    <w:rsid w:val="00F947CB"/>
    <w:rsid w:val="00F94B57"/>
    <w:rsid w:val="00F94DBD"/>
    <w:rsid w:val="00F950E6"/>
    <w:rsid w:val="00F95936"/>
    <w:rsid w:val="00F9599B"/>
    <w:rsid w:val="00F95AFE"/>
    <w:rsid w:val="00F96206"/>
    <w:rsid w:val="00F97687"/>
    <w:rsid w:val="00F9789C"/>
    <w:rsid w:val="00F97B25"/>
    <w:rsid w:val="00F97C48"/>
    <w:rsid w:val="00FA00AA"/>
    <w:rsid w:val="00FA02EC"/>
    <w:rsid w:val="00FA03DE"/>
    <w:rsid w:val="00FA0670"/>
    <w:rsid w:val="00FA0D87"/>
    <w:rsid w:val="00FA0F87"/>
    <w:rsid w:val="00FA10A8"/>
    <w:rsid w:val="00FA16B4"/>
    <w:rsid w:val="00FA1B10"/>
    <w:rsid w:val="00FA1DF5"/>
    <w:rsid w:val="00FA1E1D"/>
    <w:rsid w:val="00FA1EEA"/>
    <w:rsid w:val="00FA2313"/>
    <w:rsid w:val="00FA2805"/>
    <w:rsid w:val="00FA337F"/>
    <w:rsid w:val="00FA397E"/>
    <w:rsid w:val="00FA3E9F"/>
    <w:rsid w:val="00FA401C"/>
    <w:rsid w:val="00FA44B6"/>
    <w:rsid w:val="00FA45F4"/>
    <w:rsid w:val="00FA4ABC"/>
    <w:rsid w:val="00FA4FB4"/>
    <w:rsid w:val="00FA55B7"/>
    <w:rsid w:val="00FA58F7"/>
    <w:rsid w:val="00FA5F25"/>
    <w:rsid w:val="00FA5F3D"/>
    <w:rsid w:val="00FA622F"/>
    <w:rsid w:val="00FA63C3"/>
    <w:rsid w:val="00FA6B5E"/>
    <w:rsid w:val="00FA6C58"/>
    <w:rsid w:val="00FA7BD2"/>
    <w:rsid w:val="00FA7E5B"/>
    <w:rsid w:val="00FB01FA"/>
    <w:rsid w:val="00FB0311"/>
    <w:rsid w:val="00FB0480"/>
    <w:rsid w:val="00FB04CE"/>
    <w:rsid w:val="00FB07F2"/>
    <w:rsid w:val="00FB0911"/>
    <w:rsid w:val="00FB0A91"/>
    <w:rsid w:val="00FB19B6"/>
    <w:rsid w:val="00FB21BC"/>
    <w:rsid w:val="00FB261A"/>
    <w:rsid w:val="00FB3013"/>
    <w:rsid w:val="00FB317A"/>
    <w:rsid w:val="00FB361A"/>
    <w:rsid w:val="00FB3BE9"/>
    <w:rsid w:val="00FB460E"/>
    <w:rsid w:val="00FB541F"/>
    <w:rsid w:val="00FB5FF7"/>
    <w:rsid w:val="00FB623B"/>
    <w:rsid w:val="00FB6A75"/>
    <w:rsid w:val="00FB6DDC"/>
    <w:rsid w:val="00FB6EDA"/>
    <w:rsid w:val="00FB6F59"/>
    <w:rsid w:val="00FB700F"/>
    <w:rsid w:val="00FB7066"/>
    <w:rsid w:val="00FB752C"/>
    <w:rsid w:val="00FB7BDC"/>
    <w:rsid w:val="00FB7DA9"/>
    <w:rsid w:val="00FC06E1"/>
    <w:rsid w:val="00FC0D3C"/>
    <w:rsid w:val="00FC10D2"/>
    <w:rsid w:val="00FC11AC"/>
    <w:rsid w:val="00FC202C"/>
    <w:rsid w:val="00FC314B"/>
    <w:rsid w:val="00FC3748"/>
    <w:rsid w:val="00FC38C9"/>
    <w:rsid w:val="00FC409C"/>
    <w:rsid w:val="00FC422B"/>
    <w:rsid w:val="00FC4CC9"/>
    <w:rsid w:val="00FC4D1F"/>
    <w:rsid w:val="00FC4E0A"/>
    <w:rsid w:val="00FC52A0"/>
    <w:rsid w:val="00FC5AE6"/>
    <w:rsid w:val="00FC5C40"/>
    <w:rsid w:val="00FC5D39"/>
    <w:rsid w:val="00FC6033"/>
    <w:rsid w:val="00FC60A0"/>
    <w:rsid w:val="00FC675A"/>
    <w:rsid w:val="00FC698C"/>
    <w:rsid w:val="00FC6DAA"/>
    <w:rsid w:val="00FC7940"/>
    <w:rsid w:val="00FC7D03"/>
    <w:rsid w:val="00FD0535"/>
    <w:rsid w:val="00FD06A1"/>
    <w:rsid w:val="00FD074B"/>
    <w:rsid w:val="00FD0BA9"/>
    <w:rsid w:val="00FD0F06"/>
    <w:rsid w:val="00FD0F8F"/>
    <w:rsid w:val="00FD19E0"/>
    <w:rsid w:val="00FD1A38"/>
    <w:rsid w:val="00FD1ACE"/>
    <w:rsid w:val="00FD1E6A"/>
    <w:rsid w:val="00FD227D"/>
    <w:rsid w:val="00FD2439"/>
    <w:rsid w:val="00FD25A8"/>
    <w:rsid w:val="00FD2B63"/>
    <w:rsid w:val="00FD2FC7"/>
    <w:rsid w:val="00FD3440"/>
    <w:rsid w:val="00FD4430"/>
    <w:rsid w:val="00FD49C9"/>
    <w:rsid w:val="00FD4F27"/>
    <w:rsid w:val="00FD5018"/>
    <w:rsid w:val="00FD52DB"/>
    <w:rsid w:val="00FD54C9"/>
    <w:rsid w:val="00FD5DEA"/>
    <w:rsid w:val="00FD5DF4"/>
    <w:rsid w:val="00FD61D0"/>
    <w:rsid w:val="00FD6324"/>
    <w:rsid w:val="00FD6420"/>
    <w:rsid w:val="00FD699C"/>
    <w:rsid w:val="00FD6F80"/>
    <w:rsid w:val="00FD75BF"/>
    <w:rsid w:val="00FD75DF"/>
    <w:rsid w:val="00FD778E"/>
    <w:rsid w:val="00FD77B9"/>
    <w:rsid w:val="00FD78DB"/>
    <w:rsid w:val="00FE0783"/>
    <w:rsid w:val="00FE0936"/>
    <w:rsid w:val="00FE0FA0"/>
    <w:rsid w:val="00FE14D4"/>
    <w:rsid w:val="00FE158E"/>
    <w:rsid w:val="00FE1605"/>
    <w:rsid w:val="00FE19AE"/>
    <w:rsid w:val="00FE1C0C"/>
    <w:rsid w:val="00FE2283"/>
    <w:rsid w:val="00FE2F0E"/>
    <w:rsid w:val="00FE377F"/>
    <w:rsid w:val="00FE3BFA"/>
    <w:rsid w:val="00FE3C0F"/>
    <w:rsid w:val="00FE3DBE"/>
    <w:rsid w:val="00FE4475"/>
    <w:rsid w:val="00FE4677"/>
    <w:rsid w:val="00FE58C7"/>
    <w:rsid w:val="00FE6393"/>
    <w:rsid w:val="00FE65DC"/>
    <w:rsid w:val="00FE6702"/>
    <w:rsid w:val="00FE6949"/>
    <w:rsid w:val="00FE6D8B"/>
    <w:rsid w:val="00FE6E37"/>
    <w:rsid w:val="00FE762A"/>
    <w:rsid w:val="00FE7703"/>
    <w:rsid w:val="00FE77D2"/>
    <w:rsid w:val="00FE7A52"/>
    <w:rsid w:val="00FE7C29"/>
    <w:rsid w:val="00FE7EEB"/>
    <w:rsid w:val="00FF051C"/>
    <w:rsid w:val="00FF11EF"/>
    <w:rsid w:val="00FF1428"/>
    <w:rsid w:val="00FF1699"/>
    <w:rsid w:val="00FF179C"/>
    <w:rsid w:val="00FF207D"/>
    <w:rsid w:val="00FF2797"/>
    <w:rsid w:val="00FF2F97"/>
    <w:rsid w:val="00FF35B3"/>
    <w:rsid w:val="00FF36E9"/>
    <w:rsid w:val="00FF3702"/>
    <w:rsid w:val="00FF38AC"/>
    <w:rsid w:val="00FF3C42"/>
    <w:rsid w:val="00FF3DA9"/>
    <w:rsid w:val="00FF3F1E"/>
    <w:rsid w:val="00FF4014"/>
    <w:rsid w:val="00FF4790"/>
    <w:rsid w:val="00FF482D"/>
    <w:rsid w:val="00FF4C21"/>
    <w:rsid w:val="00FF5AB6"/>
    <w:rsid w:val="00FF5F21"/>
    <w:rsid w:val="00FF629D"/>
    <w:rsid w:val="00FF6EA8"/>
    <w:rsid w:val="00FF72FA"/>
    <w:rsid w:val="02C5BE10"/>
    <w:rsid w:val="03170DF7"/>
    <w:rsid w:val="033C2B68"/>
    <w:rsid w:val="03AF15F4"/>
    <w:rsid w:val="042B3019"/>
    <w:rsid w:val="048854FC"/>
    <w:rsid w:val="04C91369"/>
    <w:rsid w:val="060E0145"/>
    <w:rsid w:val="06212976"/>
    <w:rsid w:val="064188B4"/>
    <w:rsid w:val="06F42B72"/>
    <w:rsid w:val="07411791"/>
    <w:rsid w:val="07675855"/>
    <w:rsid w:val="08D3BF55"/>
    <w:rsid w:val="08E6E786"/>
    <w:rsid w:val="093B0BA8"/>
    <w:rsid w:val="0BD15E06"/>
    <w:rsid w:val="0BF1D188"/>
    <w:rsid w:val="0BF8B73B"/>
    <w:rsid w:val="0C2CCF18"/>
    <w:rsid w:val="0DAEE679"/>
    <w:rsid w:val="0DF69E34"/>
    <w:rsid w:val="0E21326C"/>
    <w:rsid w:val="0E61DF13"/>
    <w:rsid w:val="0FFDB549"/>
    <w:rsid w:val="10B0F159"/>
    <w:rsid w:val="10C1CAA4"/>
    <w:rsid w:val="12EAB256"/>
    <w:rsid w:val="1448E6FE"/>
    <w:rsid w:val="146D76DA"/>
    <w:rsid w:val="16795846"/>
    <w:rsid w:val="171CADF9"/>
    <w:rsid w:val="17A0BE29"/>
    <w:rsid w:val="1850F5DB"/>
    <w:rsid w:val="1950BB96"/>
    <w:rsid w:val="19F29072"/>
    <w:rsid w:val="1B0C0B53"/>
    <w:rsid w:val="1B12E775"/>
    <w:rsid w:val="1B5C2146"/>
    <w:rsid w:val="1C0E2191"/>
    <w:rsid w:val="1C773354"/>
    <w:rsid w:val="1D2491D6"/>
    <w:rsid w:val="1DC8AA86"/>
    <w:rsid w:val="1E49B911"/>
    <w:rsid w:val="1E85ABC0"/>
    <w:rsid w:val="210BF90B"/>
    <w:rsid w:val="2124B530"/>
    <w:rsid w:val="22E3D9A1"/>
    <w:rsid w:val="24AA115F"/>
    <w:rsid w:val="253002DB"/>
    <w:rsid w:val="25A31971"/>
    <w:rsid w:val="2648644F"/>
    <w:rsid w:val="2673F2C4"/>
    <w:rsid w:val="280C8EB3"/>
    <w:rsid w:val="29F91644"/>
    <w:rsid w:val="2A4767C8"/>
    <w:rsid w:val="2AEBAC70"/>
    <w:rsid w:val="2B0A8FAF"/>
    <w:rsid w:val="2BF45E5F"/>
    <w:rsid w:val="2C57C038"/>
    <w:rsid w:val="2CCA32B0"/>
    <w:rsid w:val="2E771636"/>
    <w:rsid w:val="2E95CF6C"/>
    <w:rsid w:val="2EDE2519"/>
    <w:rsid w:val="2F4B83FD"/>
    <w:rsid w:val="2F4DA644"/>
    <w:rsid w:val="305DD375"/>
    <w:rsid w:val="31B44E9F"/>
    <w:rsid w:val="3215C70C"/>
    <w:rsid w:val="338EA079"/>
    <w:rsid w:val="33DD1267"/>
    <w:rsid w:val="34261F7C"/>
    <w:rsid w:val="35997DFB"/>
    <w:rsid w:val="35A12995"/>
    <w:rsid w:val="36098B94"/>
    <w:rsid w:val="3733A215"/>
    <w:rsid w:val="394795C7"/>
    <w:rsid w:val="3BA9A4A7"/>
    <w:rsid w:val="3BFBAD31"/>
    <w:rsid w:val="3DA05B4E"/>
    <w:rsid w:val="3DAEEABA"/>
    <w:rsid w:val="3E0D6E37"/>
    <w:rsid w:val="3E12699B"/>
    <w:rsid w:val="3E27CD87"/>
    <w:rsid w:val="3EC4E89F"/>
    <w:rsid w:val="3F79BB12"/>
    <w:rsid w:val="3FE18DD6"/>
    <w:rsid w:val="410EDB28"/>
    <w:rsid w:val="413ED0A5"/>
    <w:rsid w:val="4168D99D"/>
    <w:rsid w:val="419D191A"/>
    <w:rsid w:val="41F52EAB"/>
    <w:rsid w:val="43672E8C"/>
    <w:rsid w:val="44977769"/>
    <w:rsid w:val="44B84FD8"/>
    <w:rsid w:val="4506950D"/>
    <w:rsid w:val="4684A9F2"/>
    <w:rsid w:val="475C0835"/>
    <w:rsid w:val="48063C67"/>
    <w:rsid w:val="486E8CBD"/>
    <w:rsid w:val="48C347BA"/>
    <w:rsid w:val="48E94CDB"/>
    <w:rsid w:val="49645912"/>
    <w:rsid w:val="49922CD6"/>
    <w:rsid w:val="49E997F5"/>
    <w:rsid w:val="4AB6BA27"/>
    <w:rsid w:val="4C57A2F3"/>
    <w:rsid w:val="4CAE4B01"/>
    <w:rsid w:val="4D7C09B9"/>
    <w:rsid w:val="4DB5361A"/>
    <w:rsid w:val="4DF20AB8"/>
    <w:rsid w:val="4EA77759"/>
    <w:rsid w:val="50DFF408"/>
    <w:rsid w:val="511FB0CE"/>
    <w:rsid w:val="515643AE"/>
    <w:rsid w:val="515DCCC0"/>
    <w:rsid w:val="51D69F32"/>
    <w:rsid w:val="5221759F"/>
    <w:rsid w:val="529A5E1D"/>
    <w:rsid w:val="52B6F94F"/>
    <w:rsid w:val="5408D103"/>
    <w:rsid w:val="5438E8DD"/>
    <w:rsid w:val="548A80FE"/>
    <w:rsid w:val="54C43D9C"/>
    <w:rsid w:val="550F58F6"/>
    <w:rsid w:val="55FEE9E3"/>
    <w:rsid w:val="56276ED3"/>
    <w:rsid w:val="569F2800"/>
    <w:rsid w:val="56AD22A0"/>
    <w:rsid w:val="56D9AFC5"/>
    <w:rsid w:val="571CE13E"/>
    <w:rsid w:val="57A79FF8"/>
    <w:rsid w:val="583E3774"/>
    <w:rsid w:val="58FC6674"/>
    <w:rsid w:val="59188DC6"/>
    <w:rsid w:val="593AB4FC"/>
    <w:rsid w:val="59B1C3BD"/>
    <w:rsid w:val="5B31BAE0"/>
    <w:rsid w:val="5E307BF8"/>
    <w:rsid w:val="5EF8EA39"/>
    <w:rsid w:val="5FE99DCF"/>
    <w:rsid w:val="6050312B"/>
    <w:rsid w:val="6138C8A2"/>
    <w:rsid w:val="61CF40D2"/>
    <w:rsid w:val="6248AE25"/>
    <w:rsid w:val="626EEFAA"/>
    <w:rsid w:val="63574F63"/>
    <w:rsid w:val="642DDF71"/>
    <w:rsid w:val="6602A93B"/>
    <w:rsid w:val="670068E2"/>
    <w:rsid w:val="671D4B55"/>
    <w:rsid w:val="67CD0BA0"/>
    <w:rsid w:val="686A7CD0"/>
    <w:rsid w:val="68CED647"/>
    <w:rsid w:val="68E4822A"/>
    <w:rsid w:val="69A5693C"/>
    <w:rsid w:val="6B686A35"/>
    <w:rsid w:val="6C3CD082"/>
    <w:rsid w:val="6C5980A6"/>
    <w:rsid w:val="6DD90DD8"/>
    <w:rsid w:val="6EAC118C"/>
    <w:rsid w:val="70205EE2"/>
    <w:rsid w:val="703F4C59"/>
    <w:rsid w:val="70844E0C"/>
    <w:rsid w:val="708A54A2"/>
    <w:rsid w:val="7230F0D0"/>
    <w:rsid w:val="72E24E59"/>
    <w:rsid w:val="73929705"/>
    <w:rsid w:val="747951BD"/>
    <w:rsid w:val="76FC1A29"/>
    <w:rsid w:val="7797CA22"/>
    <w:rsid w:val="77CD21F4"/>
    <w:rsid w:val="7831A0BB"/>
    <w:rsid w:val="7866B14D"/>
    <w:rsid w:val="78FED977"/>
    <w:rsid w:val="7A62A996"/>
    <w:rsid w:val="7ACD91FF"/>
    <w:rsid w:val="7B96E973"/>
    <w:rsid w:val="7C4604E9"/>
    <w:rsid w:val="7C51E833"/>
    <w:rsid w:val="7D58AB30"/>
    <w:rsid w:val="7DECA7D2"/>
    <w:rsid w:val="7E2B0FC4"/>
    <w:rsid w:val="7F296FF1"/>
    <w:rsid w:val="7FCFE8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4A4E3"/>
  <w15:chartTrackingRefBased/>
  <w15:docId w15:val="{4C7AC925-93AB-463B-A910-7E60A6C5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814"/>
    <w:pPr>
      <w:spacing w:after="120" w:line="276" w:lineRule="auto"/>
      <w:ind w:left="360"/>
      <w:jc w:val="both"/>
      <w:outlineLvl w:val="0"/>
    </w:pPr>
    <w:rPr>
      <w:rFonts w:cstheme="minorHAnsi"/>
      <w:b/>
      <w:sz w:val="24"/>
      <w:szCs w:val="24"/>
    </w:rPr>
  </w:style>
  <w:style w:type="paragraph" w:styleId="Heading2">
    <w:name w:val="heading 2"/>
    <w:basedOn w:val="ListParagraph"/>
    <w:next w:val="Normal"/>
    <w:link w:val="Heading2Char"/>
    <w:uiPriority w:val="9"/>
    <w:unhideWhenUsed/>
    <w:qFormat/>
    <w:rsid w:val="00AF7814"/>
    <w:pPr>
      <w:spacing w:after="120" w:line="276" w:lineRule="auto"/>
      <w:ind w:left="360"/>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AF7814"/>
    <w:pPr>
      <w:jc w:val="center"/>
      <w:outlineLvl w:val="2"/>
    </w:pPr>
    <w:rPr>
      <w:rFonts w:cstheme="minorHAnsi"/>
      <w:b/>
      <w:sz w:val="24"/>
      <w:szCs w:val="24"/>
    </w:rPr>
  </w:style>
  <w:style w:type="paragraph" w:styleId="Heading4">
    <w:name w:val="heading 4"/>
    <w:basedOn w:val="Heading2"/>
    <w:next w:val="Normal"/>
    <w:link w:val="Heading4Char"/>
    <w:uiPriority w:val="9"/>
    <w:unhideWhenUsed/>
    <w:qFormat/>
    <w:rsid w:val="00AF7814"/>
    <w:pPr>
      <w:outlineLvl w:val="3"/>
    </w:pPr>
  </w:style>
  <w:style w:type="paragraph" w:styleId="Heading5">
    <w:name w:val="heading 5"/>
    <w:basedOn w:val="Normal"/>
    <w:next w:val="Normal"/>
    <w:link w:val="Heading5Char"/>
    <w:uiPriority w:val="9"/>
    <w:semiHidden/>
    <w:unhideWhenUsed/>
    <w:qFormat/>
    <w:rsid w:val="00563148"/>
    <w:pPr>
      <w:spacing w:before="240" w:after="60" w:line="264" w:lineRule="auto"/>
      <w:ind w:left="1008" w:hanging="1008"/>
      <w:jc w:val="both"/>
      <w:outlineLvl w:val="4"/>
    </w:pPr>
    <w:rPr>
      <w:rFonts w:ascii="Calibri" w:eastAsia="Times New Roman" w:hAnsi="Calibri" w:cs="Times New Roman"/>
      <w:b/>
      <w:bCs/>
      <w:i/>
      <w:iCs/>
      <w:sz w:val="26"/>
      <w:szCs w:val="26"/>
      <w:lang w:val="en-GB" w:eastAsia="en-GB"/>
    </w:rPr>
  </w:style>
  <w:style w:type="paragraph" w:styleId="Heading6">
    <w:name w:val="heading 6"/>
    <w:basedOn w:val="Normal"/>
    <w:next w:val="Normal"/>
    <w:link w:val="Heading6Char"/>
    <w:uiPriority w:val="9"/>
    <w:semiHidden/>
    <w:unhideWhenUsed/>
    <w:qFormat/>
    <w:rsid w:val="00563148"/>
    <w:pPr>
      <w:spacing w:before="240" w:after="60" w:line="264" w:lineRule="auto"/>
      <w:ind w:left="1152" w:hanging="1152"/>
      <w:jc w:val="both"/>
      <w:outlineLvl w:val="5"/>
    </w:pPr>
    <w:rPr>
      <w:rFonts w:ascii="Calibri" w:eastAsia="Times New Roman" w:hAnsi="Calibri" w:cs="Times New Roman"/>
      <w:b/>
      <w:bCs/>
      <w:szCs w:val="24"/>
      <w:lang w:val="en-GB" w:eastAsia="en-GB"/>
    </w:rPr>
  </w:style>
  <w:style w:type="paragraph" w:styleId="Heading7">
    <w:name w:val="heading 7"/>
    <w:basedOn w:val="Normal"/>
    <w:next w:val="Normal"/>
    <w:link w:val="Heading7Char"/>
    <w:uiPriority w:val="9"/>
    <w:semiHidden/>
    <w:unhideWhenUsed/>
    <w:qFormat/>
    <w:rsid w:val="00563148"/>
    <w:pPr>
      <w:spacing w:before="240" w:after="60" w:line="264" w:lineRule="auto"/>
      <w:ind w:left="1296" w:hanging="1296"/>
      <w:jc w:val="both"/>
      <w:outlineLvl w:val="6"/>
    </w:pPr>
    <w:rPr>
      <w:rFonts w:ascii="Calibri" w:eastAsia="Times New Roman" w:hAnsi="Calibri" w:cs="Times New Roman"/>
      <w:sz w:val="24"/>
      <w:szCs w:val="24"/>
      <w:lang w:val="en-GB" w:eastAsia="en-GB"/>
    </w:rPr>
  </w:style>
  <w:style w:type="paragraph" w:styleId="Heading8">
    <w:name w:val="heading 8"/>
    <w:basedOn w:val="Normal"/>
    <w:next w:val="Normal"/>
    <w:link w:val="Heading8Char"/>
    <w:uiPriority w:val="9"/>
    <w:semiHidden/>
    <w:unhideWhenUsed/>
    <w:qFormat/>
    <w:rsid w:val="00563148"/>
    <w:pPr>
      <w:spacing w:before="240" w:after="60" w:line="264" w:lineRule="auto"/>
      <w:ind w:left="1440" w:hanging="1440"/>
      <w:jc w:val="both"/>
      <w:outlineLvl w:val="7"/>
    </w:pPr>
    <w:rPr>
      <w:rFonts w:ascii="Calibri" w:eastAsia="Times New Roman" w:hAnsi="Calibri" w:cs="Times New Roman"/>
      <w:i/>
      <w:iCs/>
      <w:sz w:val="24"/>
      <w:szCs w:val="24"/>
      <w:lang w:val="en-GB" w:eastAsia="en-GB"/>
    </w:rPr>
  </w:style>
  <w:style w:type="paragraph" w:styleId="Heading9">
    <w:name w:val="heading 9"/>
    <w:basedOn w:val="Normal"/>
    <w:next w:val="Normal"/>
    <w:link w:val="Heading9Char"/>
    <w:uiPriority w:val="9"/>
    <w:semiHidden/>
    <w:unhideWhenUsed/>
    <w:qFormat/>
    <w:rsid w:val="00563148"/>
    <w:pPr>
      <w:spacing w:before="240" w:after="60" w:line="264" w:lineRule="auto"/>
      <w:ind w:left="1584" w:hanging="1584"/>
      <w:jc w:val="both"/>
      <w:outlineLvl w:val="8"/>
    </w:pPr>
    <w:rPr>
      <w:rFonts w:ascii="Cambria" w:eastAsia="Times New Roman" w:hAnsi="Cambria"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7933"/>
    <w:pPr>
      <w:ind w:left="720"/>
      <w:contextualSpacing/>
    </w:pPr>
  </w:style>
  <w:style w:type="character" w:customStyle="1" w:styleId="Heading1Char">
    <w:name w:val="Heading 1 Char"/>
    <w:basedOn w:val="DefaultParagraphFont"/>
    <w:link w:val="Heading1"/>
    <w:uiPriority w:val="9"/>
    <w:rsid w:val="00AF7814"/>
    <w:rPr>
      <w:rFonts w:cstheme="minorHAnsi"/>
      <w:b/>
      <w:sz w:val="24"/>
      <w:szCs w:val="24"/>
    </w:rPr>
  </w:style>
  <w:style w:type="character" w:customStyle="1" w:styleId="Heading2Char">
    <w:name w:val="Heading 2 Char"/>
    <w:basedOn w:val="DefaultParagraphFont"/>
    <w:link w:val="Heading2"/>
    <w:uiPriority w:val="9"/>
    <w:rsid w:val="00AF7814"/>
    <w:rPr>
      <w:rFonts w:cstheme="minorHAnsi"/>
      <w:b/>
      <w:sz w:val="24"/>
      <w:szCs w:val="24"/>
    </w:rPr>
  </w:style>
  <w:style w:type="character" w:customStyle="1" w:styleId="Heading3Char">
    <w:name w:val="Heading 3 Char"/>
    <w:basedOn w:val="DefaultParagraphFont"/>
    <w:link w:val="Heading3"/>
    <w:uiPriority w:val="9"/>
    <w:rsid w:val="00AF7814"/>
    <w:rPr>
      <w:rFonts w:cstheme="minorHAnsi"/>
      <w:b/>
      <w:sz w:val="24"/>
      <w:szCs w:val="24"/>
    </w:rPr>
  </w:style>
  <w:style w:type="character" w:customStyle="1" w:styleId="Heading4Char">
    <w:name w:val="Heading 4 Char"/>
    <w:basedOn w:val="DefaultParagraphFont"/>
    <w:link w:val="Heading4"/>
    <w:uiPriority w:val="9"/>
    <w:rsid w:val="00AF7814"/>
    <w:rPr>
      <w:rFonts w:cstheme="minorHAnsi"/>
      <w:b/>
      <w:sz w:val="24"/>
      <w:szCs w:val="24"/>
    </w:rPr>
  </w:style>
  <w:style w:type="paragraph" w:styleId="Title">
    <w:name w:val="Title"/>
    <w:basedOn w:val="Normal"/>
    <w:next w:val="Normal"/>
    <w:link w:val="TitleChar"/>
    <w:uiPriority w:val="10"/>
    <w:qFormat/>
    <w:rsid w:val="00AF7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81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AF7814"/>
  </w:style>
  <w:style w:type="character" w:styleId="CommentReference">
    <w:name w:val="annotation reference"/>
    <w:basedOn w:val="DefaultParagraphFont"/>
    <w:uiPriority w:val="99"/>
    <w:unhideWhenUsed/>
    <w:rsid w:val="00AF7814"/>
    <w:rPr>
      <w:sz w:val="16"/>
      <w:szCs w:val="16"/>
    </w:rPr>
  </w:style>
  <w:style w:type="paragraph" w:styleId="CommentText">
    <w:name w:val="annotation text"/>
    <w:basedOn w:val="Normal"/>
    <w:link w:val="CommentTextChar"/>
    <w:uiPriority w:val="99"/>
    <w:unhideWhenUsed/>
    <w:rsid w:val="00AF7814"/>
    <w:pPr>
      <w:spacing w:line="240" w:lineRule="auto"/>
    </w:pPr>
    <w:rPr>
      <w:sz w:val="20"/>
      <w:szCs w:val="20"/>
      <w:lang w:val="el-GR"/>
    </w:rPr>
  </w:style>
  <w:style w:type="character" w:customStyle="1" w:styleId="CommentTextChar">
    <w:name w:val="Comment Text Char"/>
    <w:basedOn w:val="DefaultParagraphFont"/>
    <w:link w:val="CommentText"/>
    <w:uiPriority w:val="99"/>
    <w:rsid w:val="00AF7814"/>
    <w:rPr>
      <w:sz w:val="20"/>
      <w:szCs w:val="20"/>
      <w:lang w:val="el-GR"/>
    </w:rPr>
  </w:style>
  <w:style w:type="paragraph" w:styleId="CommentSubject">
    <w:name w:val="annotation subject"/>
    <w:basedOn w:val="CommentText"/>
    <w:next w:val="CommentText"/>
    <w:link w:val="CommentSubjectChar"/>
    <w:uiPriority w:val="99"/>
    <w:semiHidden/>
    <w:unhideWhenUsed/>
    <w:rsid w:val="00AF7814"/>
    <w:rPr>
      <w:b/>
      <w:bCs/>
    </w:rPr>
  </w:style>
  <w:style w:type="character" w:customStyle="1" w:styleId="CommentSubjectChar">
    <w:name w:val="Comment Subject Char"/>
    <w:basedOn w:val="CommentTextChar"/>
    <w:link w:val="CommentSubject"/>
    <w:uiPriority w:val="99"/>
    <w:semiHidden/>
    <w:rsid w:val="00AF7814"/>
    <w:rPr>
      <w:b/>
      <w:bCs/>
      <w:sz w:val="20"/>
      <w:szCs w:val="20"/>
      <w:lang w:val="el-GR"/>
    </w:rPr>
  </w:style>
  <w:style w:type="paragraph" w:styleId="BalloonText">
    <w:name w:val="Balloon Text"/>
    <w:basedOn w:val="Normal"/>
    <w:link w:val="BalloonTextChar"/>
    <w:uiPriority w:val="99"/>
    <w:semiHidden/>
    <w:unhideWhenUsed/>
    <w:rsid w:val="00AF7814"/>
    <w:pPr>
      <w:spacing w:after="0" w:line="240" w:lineRule="auto"/>
    </w:pPr>
    <w:rPr>
      <w:rFonts w:ascii="Segoe UI" w:hAnsi="Segoe UI" w:cs="Segoe UI"/>
      <w:sz w:val="18"/>
      <w:szCs w:val="18"/>
      <w:lang w:val="el-GR"/>
    </w:rPr>
  </w:style>
  <w:style w:type="character" w:customStyle="1" w:styleId="BalloonTextChar">
    <w:name w:val="Balloon Text Char"/>
    <w:basedOn w:val="DefaultParagraphFont"/>
    <w:link w:val="BalloonText"/>
    <w:uiPriority w:val="99"/>
    <w:semiHidden/>
    <w:rsid w:val="00AF7814"/>
    <w:rPr>
      <w:rFonts w:ascii="Segoe UI" w:hAnsi="Segoe UI" w:cs="Segoe UI"/>
      <w:sz w:val="18"/>
      <w:szCs w:val="18"/>
      <w:lang w:val="el-GR"/>
    </w:rPr>
  </w:style>
  <w:style w:type="paragraph" w:styleId="Header">
    <w:name w:val="header"/>
    <w:basedOn w:val="Normal"/>
    <w:link w:val="HeaderChar"/>
    <w:uiPriority w:val="99"/>
    <w:unhideWhenUsed/>
    <w:rsid w:val="00AF7814"/>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F7814"/>
    <w:rPr>
      <w:lang w:val="el-GR"/>
    </w:rPr>
  </w:style>
  <w:style w:type="paragraph" w:styleId="Footer">
    <w:name w:val="footer"/>
    <w:basedOn w:val="Normal"/>
    <w:link w:val="FooterChar"/>
    <w:uiPriority w:val="99"/>
    <w:unhideWhenUsed/>
    <w:rsid w:val="00AF7814"/>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F7814"/>
    <w:rPr>
      <w:lang w:val="el-GR"/>
    </w:rPr>
  </w:style>
  <w:style w:type="character" w:customStyle="1" w:styleId="3">
    <w:name w:val="Επικεφαλίδα #3_"/>
    <w:basedOn w:val="DefaultParagraphFont"/>
    <w:link w:val="30"/>
    <w:rsid w:val="00AF7814"/>
    <w:rPr>
      <w:rFonts w:ascii="Arial" w:eastAsia="Arial" w:hAnsi="Arial" w:cs="Arial"/>
      <w:b/>
      <w:bCs/>
      <w:sz w:val="19"/>
      <w:szCs w:val="19"/>
      <w:shd w:val="clear" w:color="auto" w:fill="FFFFFF"/>
    </w:rPr>
  </w:style>
  <w:style w:type="paragraph" w:customStyle="1" w:styleId="30">
    <w:name w:val="Επικεφαλίδα #3"/>
    <w:basedOn w:val="Normal"/>
    <w:link w:val="3"/>
    <w:rsid w:val="00AF7814"/>
    <w:pPr>
      <w:widowControl w:val="0"/>
      <w:shd w:val="clear" w:color="auto" w:fill="FFFFFF"/>
      <w:spacing w:after="300" w:line="360" w:lineRule="auto"/>
      <w:outlineLvl w:val="2"/>
    </w:pPr>
    <w:rPr>
      <w:rFonts w:ascii="Arial" w:eastAsia="Arial" w:hAnsi="Arial" w:cs="Arial"/>
      <w:b/>
      <w:bCs/>
      <w:sz w:val="19"/>
      <w:szCs w:val="19"/>
    </w:rPr>
  </w:style>
  <w:style w:type="table" w:styleId="TableGrid">
    <w:name w:val="Table Grid"/>
    <w:basedOn w:val="TableNormal"/>
    <w:uiPriority w:val="39"/>
    <w:rsid w:val="00AF781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15719B"/>
    <w:rPr>
      <w:vertAlign w:val="superscript"/>
    </w:rPr>
  </w:style>
  <w:style w:type="paragraph" w:styleId="FootnoteText">
    <w:name w:val="footnote text"/>
    <w:basedOn w:val="Normal"/>
    <w:link w:val="FootnoteTextChar"/>
    <w:uiPriority w:val="99"/>
    <w:unhideWhenUsed/>
    <w:rsid w:val="0015719B"/>
    <w:pPr>
      <w:spacing w:after="0" w:line="264" w:lineRule="auto"/>
      <w:jc w:val="both"/>
    </w:pPr>
    <w:rPr>
      <w:rFonts w:ascii="Calibri" w:eastAsiaTheme="minorEastAsia" w:hAnsi="Calibri" w:cs="Times New Roman"/>
      <w:sz w:val="20"/>
      <w:szCs w:val="20"/>
      <w:lang w:val="en-GB" w:eastAsia="en-GB"/>
    </w:rPr>
  </w:style>
  <w:style w:type="character" w:customStyle="1" w:styleId="FootnoteTextChar">
    <w:name w:val="Footnote Text Char"/>
    <w:basedOn w:val="DefaultParagraphFont"/>
    <w:link w:val="FootnoteText"/>
    <w:uiPriority w:val="99"/>
    <w:rsid w:val="0015719B"/>
    <w:rPr>
      <w:rFonts w:ascii="Calibri" w:eastAsiaTheme="minorEastAsia" w:hAnsi="Calibri" w:cs="Times New Roman"/>
      <w:sz w:val="20"/>
      <w:szCs w:val="20"/>
      <w:lang w:val="en-GB" w:eastAsia="en-GB"/>
    </w:rPr>
  </w:style>
  <w:style w:type="paragraph" w:customStyle="1" w:styleId="E1Level">
    <w:name w:val="E 1 Level"/>
    <w:basedOn w:val="Normal"/>
    <w:link w:val="E1LevelCarattere"/>
    <w:autoRedefine/>
    <w:qFormat/>
    <w:rsid w:val="00CC6142"/>
    <w:pPr>
      <w:widowControl w:val="0"/>
      <w:suppressAutoHyphens/>
      <w:spacing w:before="120" w:after="120" w:line="240" w:lineRule="auto"/>
      <w:jc w:val="center"/>
      <w:outlineLvl w:val="0"/>
    </w:pPr>
    <w:rPr>
      <w:rFonts w:ascii="Calibri" w:eastAsia="Times New Roman" w:hAnsi="Calibri" w:cs="Times New Roman"/>
      <w:b/>
      <w:bCs/>
      <w:sz w:val="24"/>
      <w:szCs w:val="18"/>
      <w:lang w:val="en-GB" w:eastAsia="en-GB"/>
    </w:rPr>
  </w:style>
  <w:style w:type="character" w:customStyle="1" w:styleId="E1LevelCarattere">
    <w:name w:val="E 1 Level Carattere"/>
    <w:link w:val="E1Level"/>
    <w:rsid w:val="00CC6142"/>
    <w:rPr>
      <w:rFonts w:ascii="Calibri" w:eastAsia="Times New Roman" w:hAnsi="Calibri" w:cs="Times New Roman"/>
      <w:b/>
      <w:bCs/>
      <w:sz w:val="24"/>
      <w:szCs w:val="18"/>
      <w:lang w:val="en-GB" w:eastAsia="en-GB"/>
    </w:rPr>
  </w:style>
  <w:style w:type="paragraph" w:customStyle="1" w:styleId="E2Level">
    <w:name w:val="E 2 Level"/>
    <w:basedOn w:val="E1Level"/>
    <w:link w:val="E2LevelCarattere"/>
    <w:qFormat/>
    <w:rsid w:val="0015719B"/>
    <w:pPr>
      <w:numPr>
        <w:numId w:val="1"/>
      </w:numPr>
      <w:tabs>
        <w:tab w:val="num" w:pos="360"/>
      </w:tabs>
      <w:spacing w:before="200"/>
      <w:ind w:left="0" w:firstLine="0"/>
      <w:outlineLvl w:val="1"/>
    </w:pPr>
  </w:style>
  <w:style w:type="paragraph" w:customStyle="1" w:styleId="E3Level">
    <w:name w:val="E 3 Level"/>
    <w:basedOn w:val="E2Level"/>
    <w:link w:val="E3LevelChar"/>
    <w:qFormat/>
    <w:rsid w:val="0015719B"/>
    <w:pPr>
      <w:numPr>
        <w:ilvl w:val="2"/>
      </w:numPr>
      <w:tabs>
        <w:tab w:val="num" w:pos="360"/>
      </w:tabs>
      <w:outlineLvl w:val="2"/>
    </w:pPr>
  </w:style>
  <w:style w:type="paragraph" w:customStyle="1" w:styleId="E4Level">
    <w:name w:val="E 4 Level"/>
    <w:basedOn w:val="E3Level"/>
    <w:link w:val="E4LevelChar"/>
    <w:qFormat/>
    <w:rsid w:val="0015719B"/>
    <w:pPr>
      <w:numPr>
        <w:ilvl w:val="3"/>
      </w:numPr>
      <w:tabs>
        <w:tab w:val="num" w:pos="360"/>
      </w:tabs>
      <w:outlineLvl w:val="3"/>
    </w:pPr>
  </w:style>
  <w:style w:type="paragraph" w:customStyle="1" w:styleId="E5Level">
    <w:name w:val="E 5 Level"/>
    <w:basedOn w:val="E4Level"/>
    <w:link w:val="E5LevelChar"/>
    <w:qFormat/>
    <w:rsid w:val="0015719B"/>
    <w:pPr>
      <w:numPr>
        <w:ilvl w:val="4"/>
      </w:numPr>
      <w:tabs>
        <w:tab w:val="num" w:pos="360"/>
      </w:tabs>
      <w:outlineLvl w:val="4"/>
    </w:pPr>
  </w:style>
  <w:style w:type="paragraph" w:styleId="BodyText2">
    <w:name w:val="Body Text 2"/>
    <w:basedOn w:val="Normal"/>
    <w:link w:val="BodyText2Char"/>
    <w:rsid w:val="00937352"/>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937352"/>
    <w:rPr>
      <w:rFonts w:ascii="Garamond" w:eastAsia="Times New Roman" w:hAnsi="Garamond" w:cs="Times New Roman"/>
      <w:sz w:val="24"/>
      <w:szCs w:val="20"/>
      <w:lang w:val="it-IT" w:eastAsia="it-IT"/>
    </w:rPr>
  </w:style>
  <w:style w:type="character" w:styleId="Hyperlink">
    <w:name w:val="Hyperlink"/>
    <w:uiPriority w:val="99"/>
    <w:rsid w:val="00937352"/>
    <w:rPr>
      <w:color w:val="0000FF"/>
      <w:u w:val="single"/>
    </w:rPr>
  </w:style>
  <w:style w:type="paragraph" w:styleId="BodyText3">
    <w:name w:val="Body Text 3"/>
    <w:basedOn w:val="Normal"/>
    <w:link w:val="BodyText3Char"/>
    <w:rsid w:val="00937352"/>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937352"/>
    <w:rPr>
      <w:rFonts w:ascii="Book Antiqua" w:eastAsia="Times New Roman" w:hAnsi="Book Antiqua" w:cs="Times New Roman"/>
      <w:b/>
      <w:sz w:val="28"/>
      <w:szCs w:val="24"/>
      <w:lang w:val="it-IT" w:eastAsia="it-IT"/>
    </w:rPr>
  </w:style>
  <w:style w:type="paragraph" w:customStyle="1" w:styleId="alignjustify">
    <w:name w:val="align_justify"/>
    <w:basedOn w:val="Normal"/>
    <w:rsid w:val="00937352"/>
    <w:pPr>
      <w:spacing w:before="150" w:after="100" w:afterAutospacing="1" w:line="240" w:lineRule="auto"/>
    </w:pPr>
    <w:rPr>
      <w:rFonts w:ascii="Times New Roman" w:eastAsia="Times New Roman" w:hAnsi="Times New Roman" w:cs="Times New Roman"/>
      <w:sz w:val="24"/>
      <w:szCs w:val="24"/>
      <w:lang w:val="it-IT" w:eastAsia="it-IT"/>
    </w:rPr>
  </w:style>
  <w:style w:type="character" w:customStyle="1" w:styleId="Heading5Char">
    <w:name w:val="Heading 5 Char"/>
    <w:basedOn w:val="DefaultParagraphFont"/>
    <w:link w:val="Heading5"/>
    <w:uiPriority w:val="9"/>
    <w:semiHidden/>
    <w:rsid w:val="00563148"/>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rsid w:val="00563148"/>
    <w:rPr>
      <w:rFonts w:ascii="Calibri" w:eastAsia="Times New Roman" w:hAnsi="Calibri" w:cs="Times New Roman"/>
      <w:b/>
      <w:bCs/>
      <w:szCs w:val="24"/>
      <w:lang w:val="en-GB" w:eastAsia="en-GB"/>
    </w:rPr>
  </w:style>
  <w:style w:type="character" w:customStyle="1" w:styleId="Heading7Char">
    <w:name w:val="Heading 7 Char"/>
    <w:basedOn w:val="DefaultParagraphFont"/>
    <w:link w:val="Heading7"/>
    <w:uiPriority w:val="9"/>
    <w:semiHidden/>
    <w:rsid w:val="00563148"/>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semiHidden/>
    <w:rsid w:val="00563148"/>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semiHidden/>
    <w:rsid w:val="00563148"/>
    <w:rPr>
      <w:rFonts w:ascii="Cambria" w:eastAsia="Times New Roman" w:hAnsi="Cambria" w:cs="Times New Roman"/>
      <w:szCs w:val="24"/>
      <w:lang w:val="en-GB" w:eastAsia="en-GB"/>
    </w:rPr>
  </w:style>
  <w:style w:type="paragraph" w:customStyle="1" w:styleId="Question">
    <w:name w:val="Question"/>
    <w:basedOn w:val="Normal"/>
    <w:link w:val="QuestionChar"/>
    <w:rsid w:val="00563148"/>
    <w:pPr>
      <w:spacing w:after="0" w:line="264" w:lineRule="auto"/>
      <w:jc w:val="both"/>
    </w:pPr>
    <w:rPr>
      <w:rFonts w:ascii="Times New Roman" w:eastAsia="Times New Roman" w:hAnsi="Times New Roman" w:cs="Times New Roman"/>
      <w:b/>
      <w:bCs/>
      <w:i/>
      <w:sz w:val="24"/>
      <w:szCs w:val="24"/>
      <w:lang w:val="en-GB" w:eastAsia="en-GB"/>
    </w:rPr>
  </w:style>
  <w:style w:type="character" w:customStyle="1" w:styleId="QuestionChar">
    <w:name w:val="Question Char"/>
    <w:link w:val="Question"/>
    <w:rsid w:val="00563148"/>
    <w:rPr>
      <w:rFonts w:ascii="Times New Roman" w:eastAsia="Times New Roman" w:hAnsi="Times New Roman" w:cs="Times New Roman"/>
      <w:b/>
      <w:bCs/>
      <w:i/>
      <w:sz w:val="24"/>
      <w:szCs w:val="24"/>
      <w:lang w:val="en-GB" w:eastAsia="en-GB"/>
    </w:rPr>
  </w:style>
  <w:style w:type="paragraph" w:customStyle="1" w:styleId="Style1">
    <w:name w:val="Style1"/>
    <w:basedOn w:val="Normal"/>
    <w:link w:val="Style1Char"/>
    <w:rsid w:val="00563148"/>
    <w:pPr>
      <w:widowControl w:val="0"/>
      <w:spacing w:before="240" w:after="240" w:line="360" w:lineRule="auto"/>
      <w:jc w:val="both"/>
      <w:outlineLvl w:val="0"/>
    </w:pPr>
    <w:rPr>
      <w:rFonts w:ascii="Arial" w:eastAsia="Times New Roman" w:hAnsi="Arial" w:cs="Times New Roman"/>
      <w:b/>
      <w:smallCaps/>
      <w:sz w:val="24"/>
      <w:szCs w:val="24"/>
      <w:u w:val="single"/>
      <w:lang w:val="en-GB" w:eastAsia="nl-NL"/>
    </w:rPr>
  </w:style>
  <w:style w:type="character" w:customStyle="1" w:styleId="Style1Char">
    <w:name w:val="Style1 Char"/>
    <w:link w:val="Style1"/>
    <w:rsid w:val="00563148"/>
    <w:rPr>
      <w:rFonts w:ascii="Arial" w:eastAsia="Times New Roman" w:hAnsi="Arial" w:cs="Times New Roman"/>
      <w:b/>
      <w:smallCaps/>
      <w:sz w:val="24"/>
      <w:szCs w:val="24"/>
      <w:u w:val="single"/>
      <w:lang w:val="en-GB" w:eastAsia="nl-NL"/>
    </w:rPr>
  </w:style>
  <w:style w:type="paragraph" w:customStyle="1" w:styleId="ManualConsidrant">
    <w:name w:val="Manual Considérant"/>
    <w:basedOn w:val="Normal"/>
    <w:rsid w:val="00563148"/>
    <w:pPr>
      <w:spacing w:after="0" w:line="264" w:lineRule="auto"/>
      <w:ind w:left="709" w:hanging="709"/>
      <w:jc w:val="both"/>
    </w:pPr>
    <w:rPr>
      <w:rFonts w:ascii="Times New Roman" w:eastAsia="Times New Roman" w:hAnsi="Times New Roman" w:cs="Times New Roman"/>
      <w:sz w:val="24"/>
      <w:szCs w:val="24"/>
      <w:lang w:val="en-GB" w:eastAsia="en-GB"/>
    </w:rPr>
  </w:style>
  <w:style w:type="paragraph" w:customStyle="1" w:styleId="Point1">
    <w:name w:val="Point 1"/>
    <w:basedOn w:val="Normal"/>
    <w:rsid w:val="00563148"/>
    <w:pPr>
      <w:spacing w:after="0" w:line="264" w:lineRule="auto"/>
      <w:ind w:left="1417" w:hanging="567"/>
      <w:jc w:val="both"/>
    </w:pPr>
    <w:rPr>
      <w:rFonts w:ascii="Times New Roman" w:eastAsia="Times New Roman" w:hAnsi="Times New Roman" w:cs="Times New Roman"/>
      <w:sz w:val="24"/>
      <w:szCs w:val="24"/>
      <w:lang w:val="en-GB" w:eastAsia="en-GB"/>
    </w:rPr>
  </w:style>
  <w:style w:type="paragraph" w:customStyle="1" w:styleId="Para1">
    <w:name w:val="Para1"/>
    <w:basedOn w:val="Style1"/>
    <w:link w:val="Para1Char"/>
    <w:rsid w:val="00563148"/>
    <w:pPr>
      <w:spacing w:before="360" w:after="120" w:line="264" w:lineRule="auto"/>
    </w:pPr>
    <w:rPr>
      <w:rFonts w:cs="Arial"/>
      <w:sz w:val="22"/>
      <w:szCs w:val="22"/>
    </w:rPr>
  </w:style>
  <w:style w:type="paragraph" w:customStyle="1" w:styleId="Para2">
    <w:name w:val="Para2"/>
    <w:basedOn w:val="Style1"/>
    <w:link w:val="Para2Char"/>
    <w:rsid w:val="00563148"/>
    <w:pPr>
      <w:spacing w:after="120" w:line="264" w:lineRule="auto"/>
    </w:pPr>
    <w:rPr>
      <w:rFonts w:cs="Arial"/>
      <w:i/>
      <w:smallCaps w:val="0"/>
      <w:sz w:val="22"/>
      <w:szCs w:val="22"/>
    </w:rPr>
  </w:style>
  <w:style w:type="character" w:customStyle="1" w:styleId="Para1Char">
    <w:name w:val="Para1 Char"/>
    <w:link w:val="Para1"/>
    <w:rsid w:val="00563148"/>
    <w:rPr>
      <w:rFonts w:ascii="Arial" w:eastAsia="Times New Roman" w:hAnsi="Arial" w:cs="Arial"/>
      <w:b/>
      <w:smallCaps/>
      <w:u w:val="single"/>
      <w:lang w:val="en-GB" w:eastAsia="nl-NL"/>
    </w:rPr>
  </w:style>
  <w:style w:type="character" w:customStyle="1" w:styleId="Para2Char">
    <w:name w:val="Para2 Char"/>
    <w:link w:val="Para2"/>
    <w:rsid w:val="00563148"/>
    <w:rPr>
      <w:rFonts w:ascii="Arial" w:eastAsia="Times New Roman" w:hAnsi="Arial" w:cs="Arial"/>
      <w:b/>
      <w:i/>
      <w:u w:val="single"/>
      <w:lang w:val="en-GB" w:eastAsia="nl-NL"/>
    </w:rPr>
  </w:style>
  <w:style w:type="paragraph" w:customStyle="1" w:styleId="Text1">
    <w:name w:val="Text 1"/>
    <w:basedOn w:val="Normal"/>
    <w:rsid w:val="00563148"/>
    <w:pPr>
      <w:widowControl w:val="0"/>
      <w:spacing w:after="0" w:line="360" w:lineRule="auto"/>
      <w:ind w:left="850" w:right="-22"/>
      <w:jc w:val="both"/>
    </w:pPr>
    <w:rPr>
      <w:rFonts w:ascii="Arial" w:eastAsia="Times New Roman" w:hAnsi="Arial" w:cs="Times New Roman"/>
      <w:sz w:val="20"/>
      <w:szCs w:val="20"/>
      <w:lang w:val="en-GB" w:eastAsia="en-GB"/>
    </w:rPr>
  </w:style>
  <w:style w:type="paragraph" w:customStyle="1" w:styleId="ManualNumPar1">
    <w:name w:val="Manual NumPar 1"/>
    <w:basedOn w:val="Normal"/>
    <w:next w:val="Text1"/>
    <w:rsid w:val="00563148"/>
    <w:pPr>
      <w:widowControl w:val="0"/>
      <w:spacing w:after="0" w:line="360" w:lineRule="auto"/>
      <w:ind w:left="850" w:right="-22" w:hanging="850"/>
      <w:jc w:val="both"/>
    </w:pPr>
    <w:rPr>
      <w:rFonts w:ascii="Arial" w:eastAsia="Times New Roman" w:hAnsi="Arial" w:cs="Times New Roman"/>
      <w:sz w:val="20"/>
      <w:szCs w:val="20"/>
      <w:lang w:val="en-GB" w:eastAsia="en-GB"/>
    </w:rPr>
  </w:style>
  <w:style w:type="paragraph" w:customStyle="1" w:styleId="EHead0">
    <w:name w:val="E Head0"/>
    <w:basedOn w:val="Style1"/>
    <w:link w:val="EHead0Char"/>
    <w:qFormat/>
    <w:rsid w:val="00563148"/>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563148"/>
    <w:pPr>
      <w:widowControl w:val="0"/>
      <w:spacing w:after="0" w:line="264" w:lineRule="auto"/>
      <w:ind w:right="-23"/>
      <w:jc w:val="right"/>
    </w:pPr>
    <w:rPr>
      <w:rFonts w:ascii="Calibri" w:eastAsia="Times New Roman" w:hAnsi="Calibri" w:cs="Times New Roman"/>
      <w:sz w:val="20"/>
      <w:szCs w:val="18"/>
      <w:lang w:val="en-GB" w:eastAsia="nl-NL"/>
    </w:rPr>
  </w:style>
  <w:style w:type="character" w:customStyle="1" w:styleId="EHead0Char">
    <w:name w:val="E Head0 Char"/>
    <w:link w:val="EHead0"/>
    <w:rsid w:val="00563148"/>
    <w:rPr>
      <w:rFonts w:ascii="Calibri" w:eastAsia="Times New Roman" w:hAnsi="Calibri" w:cs="Calibri"/>
      <w:b/>
      <w:i/>
      <w:color w:val="666666"/>
      <w:sz w:val="36"/>
      <w:szCs w:val="32"/>
      <w:lang w:val="en-GB" w:eastAsia="nl-NL"/>
    </w:rPr>
  </w:style>
  <w:style w:type="character" w:customStyle="1" w:styleId="EHeaderChar">
    <w:name w:val="E Header Char"/>
    <w:link w:val="EHeader"/>
    <w:rsid w:val="00563148"/>
    <w:rPr>
      <w:rFonts w:ascii="Calibri" w:eastAsia="Times New Roman" w:hAnsi="Calibri" w:cs="Times New Roman"/>
      <w:sz w:val="20"/>
      <w:szCs w:val="18"/>
      <w:lang w:val="en-GB" w:eastAsia="nl-NL"/>
    </w:rPr>
  </w:style>
  <w:style w:type="paragraph" w:customStyle="1" w:styleId="Txt">
    <w:name w:val="Txt"/>
    <w:basedOn w:val="Normal"/>
    <w:link w:val="TxtChar"/>
    <w:rsid w:val="00563148"/>
    <w:pPr>
      <w:widowControl w:val="0"/>
      <w:spacing w:after="0" w:line="288" w:lineRule="auto"/>
      <w:ind w:right="-23"/>
      <w:jc w:val="both"/>
    </w:pPr>
    <w:rPr>
      <w:rFonts w:ascii="Calibri" w:eastAsia="Times New Roman" w:hAnsi="Calibri" w:cs="Calibri"/>
      <w:sz w:val="24"/>
      <w:szCs w:val="24"/>
      <w:lang w:val="cs-CZ" w:eastAsia="nl-NL"/>
    </w:rPr>
  </w:style>
  <w:style w:type="character" w:customStyle="1" w:styleId="TxtChar">
    <w:name w:val="Txt Char"/>
    <w:link w:val="Txt"/>
    <w:rsid w:val="00563148"/>
    <w:rPr>
      <w:rFonts w:ascii="Calibri" w:eastAsia="Times New Roman" w:hAnsi="Calibri" w:cs="Calibri"/>
      <w:sz w:val="24"/>
      <w:szCs w:val="24"/>
      <w:lang w:val="cs-CZ" w:eastAsia="nl-NL"/>
    </w:rPr>
  </w:style>
  <w:style w:type="paragraph" w:customStyle="1" w:styleId="Header0">
    <w:name w:val="Header0"/>
    <w:basedOn w:val="EHead0"/>
    <w:rsid w:val="00563148"/>
    <w:pPr>
      <w:ind w:right="-306"/>
    </w:pPr>
    <w:rPr>
      <w:rFonts w:cs="Arial"/>
    </w:rPr>
  </w:style>
  <w:style w:type="paragraph" w:customStyle="1" w:styleId="Header1">
    <w:name w:val="Header1"/>
    <w:basedOn w:val="Normal"/>
    <w:rsid w:val="00563148"/>
    <w:pPr>
      <w:spacing w:after="0" w:line="264" w:lineRule="auto"/>
      <w:ind w:right="-306"/>
      <w:jc w:val="both"/>
    </w:pPr>
    <w:rPr>
      <w:rFonts w:ascii="Arial" w:eastAsiaTheme="minorEastAsia" w:hAnsi="Arial" w:cs="Arial"/>
      <w:b/>
      <w:bCs/>
      <w:i/>
      <w:sz w:val="24"/>
      <w:szCs w:val="24"/>
      <w:lang w:val="en-GB" w:eastAsia="en-GB"/>
    </w:rPr>
  </w:style>
  <w:style w:type="character" w:styleId="PageNumber">
    <w:name w:val="page number"/>
    <w:basedOn w:val="DefaultParagraphFont"/>
    <w:rsid w:val="00563148"/>
  </w:style>
  <w:style w:type="paragraph" w:styleId="NormalWeb">
    <w:name w:val="Normal (Web)"/>
    <w:basedOn w:val="Normal"/>
    <w:uiPriority w:val="99"/>
    <w:unhideWhenUsed/>
    <w:rsid w:val="00563148"/>
    <w:pPr>
      <w:spacing w:before="100" w:beforeAutospacing="1" w:after="100" w:afterAutospacing="1" w:line="264" w:lineRule="auto"/>
      <w:jc w:val="both"/>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563148"/>
    <w:pPr>
      <w:spacing w:after="0" w:line="264" w:lineRule="auto"/>
      <w:jc w:val="both"/>
    </w:pPr>
    <w:rPr>
      <w:rFonts w:ascii="Tahoma" w:eastAsiaTheme="minorEastAsia" w:hAnsi="Tahoma" w:cs="Tahoma"/>
      <w:sz w:val="16"/>
      <w:szCs w:val="16"/>
      <w:lang w:val="en-GB" w:eastAsia="en-GB"/>
    </w:rPr>
  </w:style>
  <w:style w:type="character" w:customStyle="1" w:styleId="DocumentMapChar">
    <w:name w:val="Document Map Char"/>
    <w:basedOn w:val="DefaultParagraphFont"/>
    <w:link w:val="DocumentMap"/>
    <w:uiPriority w:val="99"/>
    <w:semiHidden/>
    <w:rsid w:val="00563148"/>
    <w:rPr>
      <w:rFonts w:ascii="Tahoma" w:eastAsiaTheme="minorEastAsia" w:hAnsi="Tahoma" w:cs="Tahoma"/>
      <w:sz w:val="16"/>
      <w:szCs w:val="16"/>
      <w:lang w:val="en-GB" w:eastAsia="en-GB"/>
    </w:rPr>
  </w:style>
  <w:style w:type="table" w:styleId="LightShading-Accent3">
    <w:name w:val="Light Shading Accent 3"/>
    <w:basedOn w:val="TableNormal"/>
    <w:uiPriority w:val="60"/>
    <w:rsid w:val="00563148"/>
    <w:pPr>
      <w:spacing w:after="0" w:line="240" w:lineRule="auto"/>
    </w:pPr>
    <w:rPr>
      <w:rFonts w:ascii="Calibri" w:eastAsiaTheme="minorEastAsia" w:hAnsi="Calibri" w:cs="Times New Roman"/>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563148"/>
    <w:pPr>
      <w:spacing w:before="60" w:after="0" w:line="240" w:lineRule="auto"/>
      <w:ind w:right="-28"/>
      <w:outlineLvl w:val="9"/>
    </w:pPr>
    <w:rPr>
      <w:rFonts w:ascii="Calibri" w:hAnsi="Calibri"/>
      <w:b w:val="0"/>
      <w:smallCaps w:val="0"/>
      <w:u w:val="none"/>
    </w:rPr>
  </w:style>
  <w:style w:type="paragraph" w:customStyle="1" w:styleId="EHead1">
    <w:name w:val="E Head1"/>
    <w:basedOn w:val="Style1"/>
    <w:link w:val="EHead1Char"/>
    <w:qFormat/>
    <w:rsid w:val="00563148"/>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563148"/>
    <w:rPr>
      <w:rFonts w:ascii="Calibri" w:eastAsia="Times New Roman" w:hAnsi="Calibri" w:cs="Times New Roman"/>
      <w:sz w:val="24"/>
      <w:szCs w:val="24"/>
      <w:lang w:val="en-GB" w:eastAsia="nl-NL"/>
    </w:rPr>
  </w:style>
  <w:style w:type="character" w:customStyle="1" w:styleId="EHead1Char">
    <w:name w:val="E Head1 Char"/>
    <w:link w:val="EHead1"/>
    <w:rsid w:val="00563148"/>
    <w:rPr>
      <w:rFonts w:ascii="Calibri" w:eastAsia="Times New Roman" w:hAnsi="Calibri" w:cs="Calibri"/>
      <w:b/>
      <w:color w:val="000000"/>
      <w:sz w:val="24"/>
      <w:szCs w:val="24"/>
      <w:lang w:val="en-GB" w:eastAsia="nl-NL"/>
    </w:rPr>
  </w:style>
  <w:style w:type="paragraph" w:customStyle="1" w:styleId="EHead3">
    <w:name w:val="E Head3"/>
    <w:basedOn w:val="Style1"/>
    <w:link w:val="EHead3Char"/>
    <w:qFormat/>
    <w:rsid w:val="00563148"/>
    <w:pPr>
      <w:spacing w:before="60" w:after="0" w:line="240" w:lineRule="auto"/>
      <w:ind w:right="-28"/>
      <w:outlineLvl w:val="9"/>
    </w:pPr>
    <w:rPr>
      <w:rFonts w:ascii="Calibri" w:hAnsi="Calibri" w:cs="Calibri"/>
      <w:b w:val="0"/>
      <w:smallCaps w:val="0"/>
      <w:color w:val="000000"/>
      <w:szCs w:val="22"/>
      <w:u w:val="none"/>
    </w:rPr>
  </w:style>
  <w:style w:type="character" w:customStyle="1" w:styleId="EHead3Char">
    <w:name w:val="E Head3 Char"/>
    <w:link w:val="EHead3"/>
    <w:rsid w:val="00563148"/>
    <w:rPr>
      <w:rFonts w:ascii="Calibri" w:eastAsia="Times New Roman" w:hAnsi="Calibri" w:cs="Calibri"/>
      <w:color w:val="000000"/>
      <w:sz w:val="24"/>
      <w:lang w:val="en-GB" w:eastAsia="nl-NL"/>
    </w:rPr>
  </w:style>
  <w:style w:type="paragraph" w:customStyle="1" w:styleId="EHead4">
    <w:name w:val="E Head4"/>
    <w:basedOn w:val="Style1"/>
    <w:link w:val="EHead4Char"/>
    <w:qFormat/>
    <w:rsid w:val="00563148"/>
    <w:pPr>
      <w:spacing w:before="60" w:after="0" w:line="240" w:lineRule="auto"/>
      <w:ind w:right="-28"/>
      <w:outlineLvl w:val="9"/>
    </w:pPr>
    <w:rPr>
      <w:rFonts w:ascii="Calibri" w:hAnsi="Calibri"/>
      <w:b w:val="0"/>
      <w:smallCaps w:val="0"/>
      <w:u w:val="none"/>
    </w:rPr>
  </w:style>
  <w:style w:type="paragraph" w:customStyle="1" w:styleId="head5">
    <w:name w:val="head5"/>
    <w:basedOn w:val="EHead4"/>
    <w:link w:val="head5Char"/>
    <w:rsid w:val="00563148"/>
    <w:pPr>
      <w:numPr>
        <w:ilvl w:val="2"/>
        <w:numId w:val="2"/>
      </w:numPr>
      <w:ind w:left="3240"/>
    </w:pPr>
    <w:rPr>
      <w:i/>
    </w:rPr>
  </w:style>
  <w:style w:type="character" w:customStyle="1" w:styleId="EHead4Char">
    <w:name w:val="E Head4 Char"/>
    <w:link w:val="EHead4"/>
    <w:rsid w:val="00563148"/>
    <w:rPr>
      <w:rFonts w:ascii="Calibri" w:eastAsia="Times New Roman" w:hAnsi="Calibri" w:cs="Times New Roman"/>
      <w:sz w:val="24"/>
      <w:szCs w:val="24"/>
      <w:lang w:val="en-GB" w:eastAsia="nl-NL"/>
    </w:rPr>
  </w:style>
  <w:style w:type="character" w:customStyle="1" w:styleId="head5Char">
    <w:name w:val="head5 Char"/>
    <w:link w:val="head5"/>
    <w:rsid w:val="00563148"/>
    <w:rPr>
      <w:rFonts w:ascii="Calibri" w:eastAsia="Times New Roman" w:hAnsi="Calibri" w:cs="Times New Roman"/>
      <w:i/>
      <w:sz w:val="24"/>
      <w:szCs w:val="24"/>
      <w:lang w:val="en-GB" w:eastAsia="nl-NL"/>
    </w:rPr>
  </w:style>
  <w:style w:type="paragraph" w:styleId="Subtitle">
    <w:name w:val="Subtitle"/>
    <w:aliases w:val="E Figure_title"/>
    <w:basedOn w:val="Normal"/>
    <w:next w:val="Normal"/>
    <w:link w:val="SubtitleChar"/>
    <w:uiPriority w:val="11"/>
    <w:qFormat/>
    <w:rsid w:val="00563148"/>
    <w:pPr>
      <w:spacing w:after="0" w:line="264" w:lineRule="auto"/>
      <w:jc w:val="both"/>
    </w:pPr>
    <w:rPr>
      <w:rFonts w:ascii="Calibri" w:eastAsia="Times New Roman" w:hAnsi="Calibri" w:cs="Calibri"/>
      <w:i/>
      <w:sz w:val="24"/>
      <w:szCs w:val="24"/>
      <w:lang w:val="en-GB" w:eastAsia="en-GB"/>
    </w:rPr>
  </w:style>
  <w:style w:type="character" w:customStyle="1" w:styleId="SubtitleChar">
    <w:name w:val="Subtitle Char"/>
    <w:aliases w:val="E Figure_title Char"/>
    <w:basedOn w:val="DefaultParagraphFont"/>
    <w:link w:val="Subtitle"/>
    <w:uiPriority w:val="11"/>
    <w:rsid w:val="00563148"/>
    <w:rPr>
      <w:rFonts w:ascii="Calibri" w:eastAsia="Times New Roman" w:hAnsi="Calibri" w:cs="Calibri"/>
      <w:i/>
      <w:sz w:val="24"/>
      <w:szCs w:val="24"/>
      <w:lang w:val="en-GB" w:eastAsia="en-GB"/>
    </w:rPr>
  </w:style>
  <w:style w:type="paragraph" w:customStyle="1" w:styleId="EHead0Sub">
    <w:name w:val="E Head0_Sub"/>
    <w:basedOn w:val="Style1"/>
    <w:link w:val="EHead0SubChar"/>
    <w:qFormat/>
    <w:rsid w:val="00563148"/>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563148"/>
    <w:rPr>
      <w:rFonts w:ascii="Calibri" w:eastAsia="Times New Roman" w:hAnsi="Calibri" w:cs="Calibri"/>
      <w:b/>
      <w:sz w:val="32"/>
      <w:szCs w:val="32"/>
      <w:lang w:val="en-GB" w:eastAsia="nl-NL"/>
    </w:rPr>
  </w:style>
  <w:style w:type="character" w:styleId="SubtleEmphasis">
    <w:name w:val="Subtle Emphasis"/>
    <w:aliases w:val="E Footer,ENTSOG Footer"/>
    <w:uiPriority w:val="19"/>
    <w:qFormat/>
    <w:rsid w:val="00563148"/>
    <w:rPr>
      <w:rFonts w:ascii="Calibri" w:hAnsi="Calibri"/>
      <w:i/>
      <w:iCs/>
      <w:color w:val="auto"/>
      <w:sz w:val="18"/>
      <w:lang w:val="en-GB"/>
    </w:rPr>
  </w:style>
  <w:style w:type="character" w:customStyle="1" w:styleId="E2LevelCarattere">
    <w:name w:val="E 2 Level Carattere"/>
    <w:link w:val="E2Level"/>
    <w:rsid w:val="00563148"/>
    <w:rPr>
      <w:rFonts w:ascii="Calibri" w:eastAsia="Times New Roman" w:hAnsi="Calibri" w:cs="Times New Roman"/>
      <w:b/>
      <w:bCs/>
      <w:sz w:val="24"/>
      <w:szCs w:val="18"/>
      <w:lang w:val="en-GB" w:eastAsia="en-GB"/>
    </w:rPr>
  </w:style>
  <w:style w:type="paragraph" w:customStyle="1" w:styleId="Style2">
    <w:name w:val="Style2"/>
    <w:basedOn w:val="EHead0"/>
    <w:link w:val="Style2Char"/>
    <w:rsid w:val="00563148"/>
    <w:pPr>
      <w:jc w:val="left"/>
    </w:pPr>
  </w:style>
  <w:style w:type="character" w:customStyle="1" w:styleId="Style2Char">
    <w:name w:val="Style2 Char"/>
    <w:link w:val="Style2"/>
    <w:rsid w:val="00563148"/>
    <w:rPr>
      <w:rFonts w:ascii="Calibri" w:eastAsia="Times New Roman" w:hAnsi="Calibri" w:cs="Calibri"/>
      <w:b/>
      <w:i/>
      <w:color w:val="666666"/>
      <w:sz w:val="36"/>
      <w:szCs w:val="32"/>
      <w:lang w:val="en-GB" w:eastAsia="nl-NL"/>
    </w:rPr>
  </w:style>
  <w:style w:type="numbering" w:customStyle="1" w:styleId="Entsogmultilevels">
    <w:name w:val="Entsog multi levels"/>
    <w:uiPriority w:val="99"/>
    <w:rsid w:val="00563148"/>
    <w:pPr>
      <w:numPr>
        <w:numId w:val="3"/>
      </w:numPr>
    </w:pPr>
  </w:style>
  <w:style w:type="numbering" w:customStyle="1" w:styleId="Entsogtest3">
    <w:name w:val="Entsog test 3"/>
    <w:uiPriority w:val="99"/>
    <w:rsid w:val="00563148"/>
    <w:pPr>
      <w:numPr>
        <w:numId w:val="4"/>
      </w:numPr>
    </w:pPr>
  </w:style>
  <w:style w:type="paragraph" w:customStyle="1" w:styleId="EHeader0">
    <w:name w:val="E  Header"/>
    <w:basedOn w:val="Normal"/>
    <w:link w:val="EHeaderChar0"/>
    <w:rsid w:val="00563148"/>
    <w:pPr>
      <w:widowControl w:val="0"/>
      <w:spacing w:after="0" w:line="264" w:lineRule="auto"/>
      <w:jc w:val="right"/>
    </w:pPr>
    <w:rPr>
      <w:rFonts w:ascii="Calibri" w:eastAsia="Times New Roman" w:hAnsi="Calibri" w:cs="Times New Roman"/>
      <w:sz w:val="20"/>
      <w:szCs w:val="18"/>
      <w:lang w:val="en-GB" w:eastAsia="nl-NL"/>
    </w:rPr>
  </w:style>
  <w:style w:type="character" w:customStyle="1" w:styleId="EHeaderChar0">
    <w:name w:val="E  Header Char"/>
    <w:link w:val="EHeader0"/>
    <w:rsid w:val="00563148"/>
    <w:rPr>
      <w:rFonts w:ascii="Calibri" w:eastAsia="Times New Roman" w:hAnsi="Calibri" w:cs="Times New Roman"/>
      <w:sz w:val="20"/>
      <w:szCs w:val="18"/>
      <w:lang w:val="en-GB" w:eastAsia="nl-NL"/>
    </w:rPr>
  </w:style>
  <w:style w:type="table" w:styleId="LightList">
    <w:name w:val="Light List"/>
    <w:aliases w:val="E Table"/>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qFormat/>
    <w:rsid w:val="00563148"/>
    <w:pPr>
      <w:spacing w:after="200" w:line="264" w:lineRule="auto"/>
      <w:jc w:val="both"/>
    </w:pPr>
    <w:rPr>
      <w:rFonts w:ascii="Calibri" w:eastAsiaTheme="minorEastAsia" w:hAnsi="Calibri" w:cs="Times New Roman"/>
      <w:b/>
      <w:bCs/>
      <w:color w:val="1F4484"/>
      <w:sz w:val="18"/>
      <w:szCs w:val="18"/>
      <w:lang w:val="en-GB" w:eastAsia="en-GB"/>
    </w:rPr>
  </w:style>
  <w:style w:type="numbering" w:customStyle="1" w:styleId="EBullets">
    <w:name w:val="E Bullets"/>
    <w:uiPriority w:val="99"/>
    <w:rsid w:val="00563148"/>
    <w:pPr>
      <w:numPr>
        <w:numId w:val="5"/>
      </w:numPr>
    </w:pPr>
  </w:style>
  <w:style w:type="paragraph" w:customStyle="1" w:styleId="EBulletH2">
    <w:name w:val="E Bullet H2"/>
    <w:basedOn w:val="ListParagraph"/>
    <w:link w:val="EBulletH2Char"/>
    <w:rsid w:val="00563148"/>
    <w:pPr>
      <w:numPr>
        <w:numId w:val="6"/>
      </w:numPr>
      <w:spacing w:after="0" w:line="264" w:lineRule="auto"/>
      <w:contextualSpacing w:val="0"/>
      <w:jc w:val="both"/>
    </w:pPr>
    <w:rPr>
      <w:rFonts w:ascii="Calibri" w:eastAsiaTheme="minorEastAsia" w:hAnsi="Calibri" w:cs="Times New Roman"/>
      <w:sz w:val="24"/>
      <w:szCs w:val="24"/>
      <w:lang w:val="en-GB" w:eastAsia="en-GB"/>
    </w:rPr>
  </w:style>
  <w:style w:type="character" w:customStyle="1" w:styleId="EBulletH2Char">
    <w:name w:val="E Bullet H2 Char"/>
    <w:basedOn w:val="ListParagraphChar"/>
    <w:link w:val="EBulletH2"/>
    <w:rsid w:val="00563148"/>
    <w:rPr>
      <w:rFonts w:ascii="Calibri" w:eastAsiaTheme="minorEastAsia" w:hAnsi="Calibri" w:cs="Times New Roman"/>
      <w:sz w:val="24"/>
      <w:szCs w:val="24"/>
      <w:lang w:val="en-GB" w:eastAsia="en-GB"/>
    </w:rPr>
  </w:style>
  <w:style w:type="character" w:customStyle="1" w:styleId="E3LevelChar">
    <w:name w:val="E 3 Level Char"/>
    <w:link w:val="E3Level"/>
    <w:rsid w:val="00563148"/>
    <w:rPr>
      <w:rFonts w:ascii="Calibri" w:eastAsia="Times New Roman" w:hAnsi="Calibri" w:cs="Times New Roman"/>
      <w:b/>
      <w:bCs/>
      <w:sz w:val="24"/>
      <w:szCs w:val="18"/>
      <w:lang w:val="en-GB" w:eastAsia="en-GB"/>
    </w:rPr>
  </w:style>
  <w:style w:type="character" w:customStyle="1" w:styleId="E4LevelChar">
    <w:name w:val="E 4 Level Char"/>
    <w:link w:val="E4Level"/>
    <w:rsid w:val="00563148"/>
    <w:rPr>
      <w:rFonts w:ascii="Calibri" w:eastAsia="Times New Roman" w:hAnsi="Calibri" w:cs="Times New Roman"/>
      <w:b/>
      <w:bCs/>
      <w:sz w:val="24"/>
      <w:szCs w:val="18"/>
      <w:lang w:val="en-GB" w:eastAsia="en-GB"/>
    </w:rPr>
  </w:style>
  <w:style w:type="character" w:customStyle="1" w:styleId="E5LevelChar">
    <w:name w:val="E 5 Level Char"/>
    <w:link w:val="E5Level"/>
    <w:rsid w:val="00563148"/>
    <w:rPr>
      <w:rFonts w:ascii="Calibri" w:eastAsia="Times New Roman" w:hAnsi="Calibri" w:cs="Times New Roman"/>
      <w:b/>
      <w:bCs/>
      <w:sz w:val="24"/>
      <w:szCs w:val="18"/>
      <w:lang w:val="en-GB" w:eastAsia="en-GB"/>
    </w:rPr>
  </w:style>
  <w:style w:type="paragraph" w:styleId="TOC1">
    <w:name w:val="toc 1"/>
    <w:basedOn w:val="Normal"/>
    <w:next w:val="Normal"/>
    <w:autoRedefine/>
    <w:uiPriority w:val="39"/>
    <w:unhideWhenUsed/>
    <w:rsid w:val="004023F6"/>
    <w:pPr>
      <w:tabs>
        <w:tab w:val="left" w:pos="440"/>
        <w:tab w:val="right" w:pos="9639"/>
      </w:tabs>
      <w:spacing w:after="100" w:line="264" w:lineRule="auto"/>
      <w:ind w:right="-518"/>
      <w:jc w:val="both"/>
    </w:pPr>
    <w:rPr>
      <w:rFonts w:ascii="Calibri" w:eastAsiaTheme="minorEastAsia" w:hAnsi="Calibri" w:cs="Times New Roman"/>
      <w:sz w:val="24"/>
      <w:szCs w:val="24"/>
      <w:lang w:val="en-GB" w:eastAsia="en-GB"/>
    </w:rPr>
  </w:style>
  <w:style w:type="paragraph" w:customStyle="1" w:styleId="NumPar1">
    <w:name w:val="NumPar 1"/>
    <w:basedOn w:val="Normal"/>
    <w:next w:val="Text1"/>
    <w:rsid w:val="00563148"/>
    <w:pPr>
      <w:spacing w:before="120" w:after="120" w:line="240" w:lineRule="auto"/>
      <w:jc w:val="both"/>
    </w:pPr>
    <w:rPr>
      <w:rFonts w:ascii="Times New Roman" w:eastAsia="Times New Roman" w:hAnsi="Times New Roman" w:cs="Times New Roman"/>
      <w:sz w:val="24"/>
      <w:lang w:val="en-GB" w:eastAsia="en-GB"/>
    </w:rPr>
  </w:style>
  <w:style w:type="paragraph" w:customStyle="1" w:styleId="NumPar2">
    <w:name w:val="NumPar 2"/>
    <w:basedOn w:val="Normal"/>
    <w:next w:val="Text1"/>
    <w:rsid w:val="00563148"/>
    <w:pPr>
      <w:numPr>
        <w:ilvl w:val="1"/>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3">
    <w:name w:val="NumPar 3"/>
    <w:basedOn w:val="Normal"/>
    <w:next w:val="Text1"/>
    <w:rsid w:val="00563148"/>
    <w:pPr>
      <w:numPr>
        <w:ilvl w:val="2"/>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4">
    <w:name w:val="NumPar 4"/>
    <w:basedOn w:val="Normal"/>
    <w:next w:val="Text1"/>
    <w:rsid w:val="00563148"/>
    <w:pPr>
      <w:numPr>
        <w:ilvl w:val="3"/>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number">
    <w:name w:val="Point 0 (number)"/>
    <w:basedOn w:val="Normal"/>
    <w:rsid w:val="00563148"/>
    <w:pPr>
      <w:numPr>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number">
    <w:name w:val="Point 1 (number)"/>
    <w:basedOn w:val="Normal"/>
    <w:rsid w:val="00563148"/>
    <w:pPr>
      <w:numPr>
        <w:ilvl w:val="2"/>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number">
    <w:name w:val="Point 2 (number)"/>
    <w:basedOn w:val="Normal"/>
    <w:rsid w:val="00563148"/>
    <w:pPr>
      <w:numPr>
        <w:ilvl w:val="4"/>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number">
    <w:name w:val="Point 3 (number)"/>
    <w:basedOn w:val="Normal"/>
    <w:rsid w:val="00563148"/>
    <w:pPr>
      <w:numPr>
        <w:ilvl w:val="6"/>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letter">
    <w:name w:val="Point 0 (letter)"/>
    <w:basedOn w:val="Normal"/>
    <w:rsid w:val="00563148"/>
    <w:pPr>
      <w:numPr>
        <w:ilvl w:val="1"/>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letter">
    <w:name w:val="Point 1 (letter)"/>
    <w:basedOn w:val="Normal"/>
    <w:rsid w:val="00563148"/>
    <w:pPr>
      <w:numPr>
        <w:ilvl w:val="3"/>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letter">
    <w:name w:val="Point 2 (letter)"/>
    <w:basedOn w:val="Normal"/>
    <w:rsid w:val="00563148"/>
    <w:pPr>
      <w:numPr>
        <w:ilvl w:val="5"/>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letter">
    <w:name w:val="Point 3 (letter)"/>
    <w:basedOn w:val="Normal"/>
    <w:rsid w:val="00563148"/>
    <w:pPr>
      <w:numPr>
        <w:ilvl w:val="7"/>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4letter">
    <w:name w:val="Point 4 (letter)"/>
    <w:basedOn w:val="Normal"/>
    <w:rsid w:val="00563148"/>
    <w:pPr>
      <w:numPr>
        <w:ilvl w:val="8"/>
        <w:numId w:val="7"/>
      </w:numPr>
      <w:spacing w:before="120" w:after="120" w:line="240" w:lineRule="auto"/>
      <w:jc w:val="both"/>
    </w:pPr>
    <w:rPr>
      <w:rFonts w:ascii="Times New Roman" w:eastAsia="Times New Roman" w:hAnsi="Times New Roman" w:cs="Times New Roman"/>
      <w:sz w:val="24"/>
      <w:lang w:val="en-GB" w:eastAsia="en-GB"/>
    </w:rPr>
  </w:style>
  <w:style w:type="paragraph" w:styleId="Signature">
    <w:name w:val="Signature"/>
    <w:link w:val="SignatureChar"/>
    <w:uiPriority w:val="99"/>
    <w:unhideWhenUsed/>
    <w:rsid w:val="00563148"/>
    <w:pPr>
      <w:spacing w:after="200" w:line="276" w:lineRule="auto"/>
    </w:pPr>
    <w:rPr>
      <w:rFonts w:ascii="Calibri" w:eastAsia="Calibri" w:hAnsi="Calibri" w:cs="Calibri"/>
      <w:color w:val="000000"/>
      <w:u w:color="000000"/>
    </w:rPr>
  </w:style>
  <w:style w:type="character" w:customStyle="1" w:styleId="SignatureChar">
    <w:name w:val="Signature Char"/>
    <w:basedOn w:val="DefaultParagraphFont"/>
    <w:link w:val="Signature"/>
    <w:uiPriority w:val="99"/>
    <w:rsid w:val="00563148"/>
    <w:rPr>
      <w:rFonts w:ascii="Calibri" w:eastAsia="Calibri" w:hAnsi="Calibri" w:cs="Calibri"/>
      <w:color w:val="000000"/>
      <w:u w:color="000000"/>
    </w:rPr>
  </w:style>
  <w:style w:type="paragraph" w:customStyle="1" w:styleId="Brdtekst">
    <w:name w:val="Brødtekst"/>
    <w:rsid w:val="00563148"/>
    <w:pPr>
      <w:spacing w:after="0" w:line="264" w:lineRule="auto"/>
      <w:jc w:val="both"/>
    </w:pPr>
    <w:rPr>
      <w:rFonts w:ascii="Calibri" w:eastAsia="Calibri" w:hAnsi="Calibri" w:cs="Calibri"/>
      <w:color w:val="000000"/>
      <w:sz w:val="24"/>
      <w:szCs w:val="24"/>
      <w:u w:color="000000"/>
    </w:rPr>
  </w:style>
  <w:style w:type="numbering" w:customStyle="1" w:styleId="List0">
    <w:name w:val="List 0"/>
    <w:rsid w:val="00563148"/>
    <w:pPr>
      <w:numPr>
        <w:numId w:val="9"/>
      </w:numPr>
    </w:pPr>
  </w:style>
  <w:style w:type="paragraph" w:customStyle="1" w:styleId="Headlinereport">
    <w:name w:val="Headline report"/>
    <w:basedOn w:val="ListParagraph"/>
    <w:link w:val="HeadlinereportChar"/>
    <w:qFormat/>
    <w:rsid w:val="00563148"/>
    <w:pPr>
      <w:numPr>
        <w:numId w:val="10"/>
      </w:numPr>
      <w:spacing w:before="120" w:after="120" w:line="240" w:lineRule="auto"/>
      <w:contextualSpacing w:val="0"/>
    </w:pPr>
    <w:rPr>
      <w:rFonts w:ascii="Calibri" w:eastAsiaTheme="minorEastAsia" w:hAnsi="Calibri" w:cs="Times New Roman"/>
      <w:b/>
      <w:sz w:val="28"/>
      <w:szCs w:val="28"/>
      <w:lang w:val="en-GB" w:eastAsia="en-GB"/>
    </w:rPr>
  </w:style>
  <w:style w:type="paragraph" w:customStyle="1" w:styleId="Headlinereport2">
    <w:name w:val="Headline report 2"/>
    <w:basedOn w:val="Signature"/>
    <w:link w:val="Headlinereport2Char"/>
    <w:qFormat/>
    <w:rsid w:val="00563148"/>
    <w:pPr>
      <w:spacing w:before="240"/>
      <w:jc w:val="both"/>
    </w:pPr>
    <w:rPr>
      <w:b/>
      <w:sz w:val="28"/>
      <w:szCs w:val="28"/>
    </w:rPr>
  </w:style>
  <w:style w:type="character" w:customStyle="1" w:styleId="HeadlinereportChar">
    <w:name w:val="Headline report Char"/>
    <w:basedOn w:val="ListParagraphChar"/>
    <w:link w:val="Headlinereport"/>
    <w:rsid w:val="00563148"/>
    <w:rPr>
      <w:rFonts w:ascii="Calibri" w:eastAsiaTheme="minorEastAsia" w:hAnsi="Calibri" w:cs="Times New Roman"/>
      <w:b/>
      <w:sz w:val="28"/>
      <w:szCs w:val="28"/>
      <w:lang w:val="en-GB" w:eastAsia="en-GB"/>
    </w:rPr>
  </w:style>
  <w:style w:type="paragraph" w:styleId="TOCHeading">
    <w:name w:val="TOC Heading"/>
    <w:basedOn w:val="Heading1"/>
    <w:next w:val="Normal"/>
    <w:uiPriority w:val="39"/>
    <w:unhideWhenUsed/>
    <w:qFormat/>
    <w:rsid w:val="00563148"/>
    <w:pPr>
      <w:keepNext/>
      <w:keepLines/>
      <w:spacing w:before="480" w:after="0"/>
      <w:ind w:left="0"/>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linereport2Char">
    <w:name w:val="Headline report 2 Char"/>
    <w:basedOn w:val="SignatureChar"/>
    <w:link w:val="Headlinereport2"/>
    <w:rsid w:val="00563148"/>
    <w:rPr>
      <w:rFonts w:ascii="Calibri" w:eastAsia="Calibri" w:hAnsi="Calibri" w:cs="Calibri"/>
      <w:b/>
      <w:color w:val="000000"/>
      <w:sz w:val="28"/>
      <w:szCs w:val="28"/>
      <w:u w:color="000000"/>
    </w:rPr>
  </w:style>
  <w:style w:type="paragraph" w:styleId="TOC2">
    <w:name w:val="toc 2"/>
    <w:basedOn w:val="Normal"/>
    <w:next w:val="Normal"/>
    <w:autoRedefine/>
    <w:uiPriority w:val="39"/>
    <w:unhideWhenUsed/>
    <w:rsid w:val="00563148"/>
    <w:pPr>
      <w:tabs>
        <w:tab w:val="left" w:pos="426"/>
        <w:tab w:val="right" w:pos="9639"/>
      </w:tabs>
      <w:spacing w:after="100" w:line="264" w:lineRule="auto"/>
      <w:ind w:right="-235"/>
      <w:jc w:val="both"/>
    </w:pPr>
    <w:rPr>
      <w:rFonts w:ascii="Calibri" w:eastAsiaTheme="minorEastAsia" w:hAnsi="Calibri" w:cs="Times New Roman"/>
      <w:sz w:val="24"/>
      <w:szCs w:val="24"/>
      <w:lang w:val="en-GB" w:eastAsia="en-GB"/>
    </w:rPr>
  </w:style>
  <w:style w:type="character" w:customStyle="1" w:styleId="tagtrans3">
    <w:name w:val="tag_trans3"/>
    <w:basedOn w:val="DefaultParagraphFont"/>
    <w:rsid w:val="00563148"/>
    <w:rPr>
      <w:i w:val="0"/>
      <w:iCs w:val="0"/>
      <w:color w:val="333333"/>
      <w:sz w:val="24"/>
      <w:szCs w:val="24"/>
    </w:rPr>
  </w:style>
  <w:style w:type="table" w:customStyle="1" w:styleId="Gritternetztabelle6farbig1">
    <w:name w:val="Gritternetztabelle 6 farbig1"/>
    <w:basedOn w:val="TableNormal"/>
    <w:uiPriority w:val="51"/>
    <w:rsid w:val="00563148"/>
    <w:pPr>
      <w:spacing w:after="0" w:line="240" w:lineRule="auto"/>
    </w:pPr>
    <w:rPr>
      <w:rFonts w:ascii="Calibri" w:eastAsiaTheme="minorEastAsia" w:hAnsi="Calibri" w:cs="Times New Roman"/>
      <w:color w:val="000000" w:themeColor="text1"/>
      <w:sz w:val="20"/>
      <w:szCs w:val="20"/>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0">
    <w:name w:val="Head0"/>
    <w:basedOn w:val="Style1"/>
    <w:link w:val="Head0Char"/>
    <w:qFormat/>
    <w:rsid w:val="00563148"/>
    <w:pPr>
      <w:keepNext/>
      <w:spacing w:before="480" w:after="120" w:line="288" w:lineRule="auto"/>
      <w:ind w:right="-23"/>
      <w:jc w:val="center"/>
    </w:pPr>
    <w:rPr>
      <w:rFonts w:ascii="Calibri" w:hAnsi="Calibri"/>
      <w:sz w:val="32"/>
      <w:szCs w:val="32"/>
      <w:lang w:val="x-none"/>
    </w:rPr>
  </w:style>
  <w:style w:type="character" w:customStyle="1" w:styleId="Head0Char">
    <w:name w:val="Head0 Char"/>
    <w:link w:val="Head0"/>
    <w:rsid w:val="00563148"/>
    <w:rPr>
      <w:rFonts w:ascii="Calibri" w:eastAsia="Times New Roman" w:hAnsi="Calibri" w:cs="Times New Roman"/>
      <w:b/>
      <w:smallCaps/>
      <w:sz w:val="32"/>
      <w:szCs w:val="32"/>
      <w:u w:val="single"/>
      <w:lang w:val="x-none" w:eastAsia="nl-NL"/>
    </w:rPr>
  </w:style>
  <w:style w:type="character" w:customStyle="1" w:styleId="shorttext">
    <w:name w:val="short_text"/>
    <w:basedOn w:val="DefaultParagraphFont"/>
    <w:rsid w:val="00563148"/>
  </w:style>
  <w:style w:type="paragraph" w:styleId="Revision">
    <w:name w:val="Revision"/>
    <w:hidden/>
    <w:uiPriority w:val="99"/>
    <w:semiHidden/>
    <w:rsid w:val="00563148"/>
    <w:pPr>
      <w:spacing w:after="0" w:line="240" w:lineRule="auto"/>
    </w:pPr>
    <w:rPr>
      <w:rFonts w:ascii="Calibri" w:eastAsiaTheme="minorEastAsia" w:hAnsi="Calibri" w:cs="Times New Roman"/>
      <w:sz w:val="24"/>
      <w:szCs w:val="24"/>
      <w:lang w:val="en-GB" w:eastAsia="en-GB"/>
    </w:rPr>
  </w:style>
  <w:style w:type="character" w:styleId="FollowedHyperlink">
    <w:name w:val="FollowedHyperlink"/>
    <w:basedOn w:val="DefaultParagraphFont"/>
    <w:uiPriority w:val="99"/>
    <w:semiHidden/>
    <w:unhideWhenUsed/>
    <w:rsid w:val="00563148"/>
    <w:rPr>
      <w:color w:val="954F72" w:themeColor="followedHyperlink"/>
      <w:u w:val="single"/>
    </w:rPr>
  </w:style>
  <w:style w:type="paragraph" w:styleId="TOC3">
    <w:name w:val="toc 3"/>
    <w:basedOn w:val="Normal"/>
    <w:next w:val="Normal"/>
    <w:autoRedefine/>
    <w:uiPriority w:val="39"/>
    <w:unhideWhenUsed/>
    <w:rsid w:val="00240E6E"/>
    <w:pPr>
      <w:tabs>
        <w:tab w:val="left" w:pos="567"/>
        <w:tab w:val="right" w:pos="9639"/>
      </w:tabs>
      <w:spacing w:after="100" w:line="264" w:lineRule="auto"/>
      <w:ind w:right="-235"/>
      <w:jc w:val="both"/>
    </w:pPr>
    <w:rPr>
      <w:rFonts w:ascii="Calibri" w:eastAsiaTheme="minorEastAsia" w:hAnsi="Calibri" w:cs="Times New Roman"/>
      <w:sz w:val="24"/>
      <w:szCs w:val="24"/>
      <w:lang w:val="en-GB" w:eastAsia="en-GB"/>
    </w:rPr>
  </w:style>
  <w:style w:type="paragraph" w:customStyle="1" w:styleId="BulletsLev1">
    <w:name w:val="Bullets_Lev1"/>
    <w:basedOn w:val="ListParagraph"/>
    <w:link w:val="BulletsLev1Char"/>
    <w:qFormat/>
    <w:rsid w:val="00563148"/>
    <w:pPr>
      <w:numPr>
        <w:numId w:val="11"/>
      </w:numPr>
      <w:suppressAutoHyphens/>
      <w:spacing w:after="120" w:line="252" w:lineRule="auto"/>
      <w:contextualSpacing w:val="0"/>
      <w:jc w:val="both"/>
    </w:pPr>
    <w:rPr>
      <w:rFonts w:eastAsiaTheme="minorEastAsia"/>
      <w:szCs w:val="20"/>
      <w:lang w:val="en-GB" w:eastAsia="zh-CN"/>
    </w:rPr>
  </w:style>
  <w:style w:type="character" w:customStyle="1" w:styleId="BulletsLev1Char">
    <w:name w:val="Bullets_Lev1 Char"/>
    <w:basedOn w:val="ListParagraphChar"/>
    <w:link w:val="BulletsLev1"/>
    <w:rsid w:val="00563148"/>
    <w:rPr>
      <w:rFonts w:eastAsiaTheme="minorEastAsia"/>
      <w:szCs w:val="20"/>
      <w:lang w:val="en-GB" w:eastAsia="zh-CN"/>
    </w:rPr>
  </w:style>
  <w:style w:type="table" w:customStyle="1" w:styleId="GridTable1Light-Accent11">
    <w:name w:val="Grid Table 1 Light - Accent 11"/>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563148"/>
    <w:pPr>
      <w:spacing w:after="240" w:line="288" w:lineRule="auto"/>
    </w:pPr>
    <w:rPr>
      <w:rFonts w:ascii="Times New Roman" w:eastAsia="Times New Roman" w:hAnsi="Times New Roman" w:cs="Times New Roman"/>
      <w:sz w:val="24"/>
      <w:szCs w:val="20"/>
      <w:lang w:val="en-GB" w:eastAsia="da-DK"/>
    </w:rPr>
  </w:style>
  <w:style w:type="character" w:customStyle="1" w:styleId="BodyTextChar">
    <w:name w:val="Body Text Char"/>
    <w:basedOn w:val="DefaultParagraphFont"/>
    <w:link w:val="BodyText"/>
    <w:rsid w:val="00563148"/>
    <w:rPr>
      <w:rFonts w:ascii="Times New Roman" w:eastAsia="Times New Roman" w:hAnsi="Times New Roman" w:cs="Times New Roman"/>
      <w:sz w:val="24"/>
      <w:szCs w:val="20"/>
      <w:lang w:val="en-GB" w:eastAsia="da-DK"/>
    </w:rPr>
  </w:style>
  <w:style w:type="paragraph" w:customStyle="1" w:styleId="Addressblock">
    <w:name w:val="Address block"/>
    <w:basedOn w:val="Header"/>
    <w:qFormat/>
    <w:rsid w:val="00563148"/>
    <w:pPr>
      <w:tabs>
        <w:tab w:val="clear" w:pos="4153"/>
        <w:tab w:val="clear" w:pos="8306"/>
        <w:tab w:val="left" w:pos="7711"/>
      </w:tabs>
      <w:spacing w:after="160" w:line="220" w:lineRule="atLeast"/>
      <w:ind w:right="-284"/>
    </w:pPr>
    <w:rPr>
      <w:rFonts w:ascii="Century Gothic" w:eastAsiaTheme="minorEastAsia" w:hAnsi="Century Gothic"/>
      <w:color w:val="44546A" w:themeColor="text2"/>
      <w:sz w:val="18"/>
      <w:szCs w:val="20"/>
      <w:lang w:val="en-US" w:eastAsia="zh-TW"/>
    </w:rPr>
  </w:style>
  <w:style w:type="character" w:customStyle="1" w:styleId="E2LevelChar">
    <w:name w:val="E 2 Level Char"/>
    <w:rsid w:val="00563148"/>
    <w:rPr>
      <w:rFonts w:ascii="Arial" w:eastAsia="Arial" w:hAnsi="Arial" w:cs="Arial"/>
      <w:b/>
      <w:bCs/>
      <w:color w:val="000000"/>
      <w:sz w:val="27"/>
    </w:rPr>
  </w:style>
  <w:style w:type="paragraph" w:customStyle="1" w:styleId="MainBody">
    <w:name w:val="MainBody"/>
    <w:basedOn w:val="BulletsLev1"/>
    <w:link w:val="MainBodyChar"/>
    <w:qFormat/>
    <w:rsid w:val="00563148"/>
    <w:pPr>
      <w:numPr>
        <w:numId w:val="0"/>
      </w:numPr>
    </w:pPr>
  </w:style>
  <w:style w:type="character" w:customStyle="1" w:styleId="MainBodyChar">
    <w:name w:val="MainBody Char"/>
    <w:basedOn w:val="BulletsLev1Char"/>
    <w:link w:val="MainBody"/>
    <w:rsid w:val="00563148"/>
    <w:rPr>
      <w:rFonts w:eastAsiaTheme="minorEastAsia"/>
      <w:szCs w:val="20"/>
      <w:lang w:val="en-GB" w:eastAsia="zh-CN"/>
    </w:rPr>
  </w:style>
  <w:style w:type="paragraph" w:customStyle="1" w:styleId="footnotedescription">
    <w:name w:val="footnote description"/>
    <w:next w:val="Normal"/>
    <w:link w:val="footnotedescriptionChar"/>
    <w:hidden/>
    <w:rsid w:val="00563148"/>
    <w:pPr>
      <w:spacing w:after="0"/>
      <w:ind w:left="64"/>
    </w:pPr>
    <w:rPr>
      <w:rFonts w:ascii="Calibri" w:eastAsia="Calibri" w:hAnsi="Calibri" w:cs="Calibri"/>
      <w:color w:val="000000"/>
      <w:sz w:val="19"/>
      <w:lang w:val="en-GB" w:eastAsia="en-GB"/>
    </w:rPr>
  </w:style>
  <w:style w:type="character" w:customStyle="1" w:styleId="footnotedescriptionChar">
    <w:name w:val="footnote description Char"/>
    <w:link w:val="footnotedescription"/>
    <w:rsid w:val="00563148"/>
    <w:rPr>
      <w:rFonts w:ascii="Calibri" w:eastAsia="Calibri" w:hAnsi="Calibri" w:cs="Calibri"/>
      <w:color w:val="000000"/>
      <w:sz w:val="19"/>
      <w:lang w:val="en-GB" w:eastAsia="en-GB"/>
    </w:rPr>
  </w:style>
  <w:style w:type="character" w:customStyle="1" w:styleId="footnotemark">
    <w:name w:val="footnote mark"/>
    <w:hidden/>
    <w:rsid w:val="00563148"/>
    <w:rPr>
      <w:rFonts w:ascii="Calibri" w:eastAsia="Calibri" w:hAnsi="Calibri" w:cs="Calibri"/>
      <w:color w:val="000000"/>
      <w:sz w:val="19"/>
      <w:vertAlign w:val="superscript"/>
    </w:rPr>
  </w:style>
  <w:style w:type="paragraph" w:customStyle="1" w:styleId="Title1nonumbering">
    <w:name w:val="Title1_no numbering"/>
    <w:basedOn w:val="E1Level"/>
    <w:link w:val="Title1nonumberingChar"/>
    <w:qFormat/>
    <w:rsid w:val="00563148"/>
    <w:pPr>
      <w:keepNext/>
    </w:pPr>
    <w:rPr>
      <w:rFonts w:ascii="Arial" w:eastAsia="Arial" w:hAnsi="Arial" w:cs="Arial"/>
      <w:color w:val="000000"/>
      <w:sz w:val="27"/>
      <w:szCs w:val="22"/>
    </w:rPr>
  </w:style>
  <w:style w:type="paragraph" w:customStyle="1" w:styleId="a-Level">
    <w:name w:val="a-Level"/>
    <w:basedOn w:val="BulletsLev1"/>
    <w:link w:val="a-LevelChar"/>
    <w:qFormat/>
    <w:rsid w:val="00563148"/>
    <w:pPr>
      <w:numPr>
        <w:numId w:val="12"/>
      </w:numPr>
    </w:pPr>
  </w:style>
  <w:style w:type="character" w:customStyle="1" w:styleId="Title1nonumberingChar">
    <w:name w:val="Title1_no numbering Char"/>
    <w:basedOn w:val="DefaultParagraphFont"/>
    <w:link w:val="Title1nonumbering"/>
    <w:rsid w:val="00563148"/>
    <w:rPr>
      <w:rFonts w:ascii="Arial" w:eastAsia="Arial" w:hAnsi="Arial" w:cs="Arial"/>
      <w:color w:val="000000"/>
      <w:sz w:val="27"/>
      <w:lang w:val="en-GB" w:eastAsia="en-GB"/>
    </w:rPr>
  </w:style>
  <w:style w:type="character" w:customStyle="1" w:styleId="a-LevelChar">
    <w:name w:val="a-Level Char"/>
    <w:basedOn w:val="BulletsLev1Char"/>
    <w:link w:val="a-Level"/>
    <w:rsid w:val="00563148"/>
    <w:rPr>
      <w:rFonts w:eastAsiaTheme="minorEastAsia"/>
      <w:szCs w:val="20"/>
      <w:lang w:val="en-GB" w:eastAsia="zh-CN"/>
    </w:rPr>
  </w:style>
  <w:style w:type="paragraph" w:customStyle="1" w:styleId="Annex1">
    <w:name w:val="Annex1"/>
    <w:basedOn w:val="E2Level"/>
    <w:link w:val="Annex1Char"/>
    <w:qFormat/>
    <w:rsid w:val="00563148"/>
    <w:pPr>
      <w:keepNext/>
      <w:numPr>
        <w:numId w:val="13"/>
      </w:numPr>
      <w:spacing w:before="120"/>
      <w:outlineLvl w:val="0"/>
    </w:pPr>
    <w:rPr>
      <w:rFonts w:ascii="Arial" w:eastAsia="Arial" w:hAnsi="Arial" w:cs="Arial"/>
      <w:color w:val="000000"/>
      <w:sz w:val="27"/>
      <w:szCs w:val="22"/>
    </w:rPr>
  </w:style>
  <w:style w:type="paragraph" w:customStyle="1" w:styleId="Annex11">
    <w:name w:val="Annex1.1"/>
    <w:basedOn w:val="Annex1"/>
    <w:link w:val="Annex11Char"/>
    <w:qFormat/>
    <w:rsid w:val="00563148"/>
    <w:pPr>
      <w:numPr>
        <w:ilvl w:val="1"/>
      </w:numPr>
    </w:pPr>
    <w:rPr>
      <w:color w:val="2E74B5" w:themeColor="accent1" w:themeShade="BF"/>
    </w:rPr>
  </w:style>
  <w:style w:type="character" w:customStyle="1" w:styleId="Annex1Char">
    <w:name w:val="Annex1 Char"/>
    <w:basedOn w:val="E2LevelChar"/>
    <w:link w:val="Annex1"/>
    <w:rsid w:val="00563148"/>
    <w:rPr>
      <w:rFonts w:ascii="Arial" w:eastAsia="Arial" w:hAnsi="Arial" w:cs="Arial"/>
      <w:b/>
      <w:bCs/>
      <w:color w:val="000000"/>
      <w:sz w:val="27"/>
      <w:lang w:val="en-GB" w:eastAsia="en-GB"/>
    </w:rPr>
  </w:style>
  <w:style w:type="character" w:customStyle="1" w:styleId="Annex11Char">
    <w:name w:val="Annex1.1 Char"/>
    <w:basedOn w:val="Annex1Char"/>
    <w:link w:val="Annex11"/>
    <w:rsid w:val="00563148"/>
    <w:rPr>
      <w:rFonts w:ascii="Arial" w:eastAsia="Arial" w:hAnsi="Arial" w:cs="Arial"/>
      <w:b/>
      <w:bCs/>
      <w:color w:val="2E74B5" w:themeColor="accent1" w:themeShade="BF"/>
      <w:sz w:val="27"/>
      <w:lang w:val="en-GB" w:eastAsia="en-GB"/>
    </w:rPr>
  </w:style>
  <w:style w:type="character" w:customStyle="1" w:styleId="UnresolvedMention1">
    <w:name w:val="Unresolved Mention1"/>
    <w:basedOn w:val="DefaultParagraphFont"/>
    <w:uiPriority w:val="99"/>
    <w:semiHidden/>
    <w:unhideWhenUsed/>
    <w:rsid w:val="00563148"/>
    <w:rPr>
      <w:color w:val="605E5C"/>
      <w:shd w:val="clear" w:color="auto" w:fill="E1DFDD"/>
    </w:rPr>
  </w:style>
  <w:style w:type="table" w:customStyle="1" w:styleId="Gritternetztabelle6farbig11">
    <w:name w:val="Gritternetztabelle 6 farbig11"/>
    <w:basedOn w:val="TableNormal"/>
    <w:uiPriority w:val="51"/>
    <w:rsid w:val="00563148"/>
    <w:pPr>
      <w:spacing w:line="252" w:lineRule="auto"/>
      <w:jc w:val="both"/>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563148"/>
    <w:pPr>
      <w:spacing w:after="0" w:line="240" w:lineRule="auto"/>
      <w:jc w:val="both"/>
    </w:pPr>
    <w:rPr>
      <w:rFonts w:ascii="Calibri" w:eastAsiaTheme="minorEastAsia" w:hAnsi="Calibri" w:cs="Times New Roman"/>
      <w:sz w:val="20"/>
      <w:szCs w:val="20"/>
      <w:lang w:val="en-GB" w:eastAsia="en-GB"/>
    </w:rPr>
  </w:style>
  <w:style w:type="character" w:customStyle="1" w:styleId="EndnoteTextChar">
    <w:name w:val="Endnote Text Char"/>
    <w:basedOn w:val="DefaultParagraphFont"/>
    <w:link w:val="EndnoteText"/>
    <w:uiPriority w:val="99"/>
    <w:semiHidden/>
    <w:rsid w:val="00563148"/>
    <w:rPr>
      <w:rFonts w:ascii="Calibri" w:eastAsiaTheme="minorEastAsia" w:hAnsi="Calibri" w:cs="Times New Roman"/>
      <w:sz w:val="20"/>
      <w:szCs w:val="20"/>
      <w:lang w:val="en-GB" w:eastAsia="en-GB"/>
    </w:rPr>
  </w:style>
  <w:style w:type="character" w:styleId="EndnoteReference">
    <w:name w:val="endnote reference"/>
    <w:basedOn w:val="DefaultParagraphFont"/>
    <w:uiPriority w:val="99"/>
    <w:semiHidden/>
    <w:unhideWhenUsed/>
    <w:rsid w:val="00563148"/>
    <w:rPr>
      <w:vertAlign w:val="superscript"/>
    </w:rPr>
  </w:style>
  <w:style w:type="character" w:customStyle="1" w:styleId="UnresolvedMention2">
    <w:name w:val="Unresolved Mention2"/>
    <w:basedOn w:val="DefaultParagraphFont"/>
    <w:uiPriority w:val="99"/>
    <w:semiHidden/>
    <w:unhideWhenUsed/>
    <w:rsid w:val="00563148"/>
    <w:rPr>
      <w:color w:val="605E5C"/>
      <w:shd w:val="clear" w:color="auto" w:fill="E1DFDD"/>
    </w:rPr>
  </w:style>
  <w:style w:type="character" w:customStyle="1" w:styleId="Menzionenonrisolta1">
    <w:name w:val="Menzione non risolta1"/>
    <w:basedOn w:val="DefaultParagraphFont"/>
    <w:uiPriority w:val="99"/>
    <w:semiHidden/>
    <w:unhideWhenUsed/>
    <w:rsid w:val="00563148"/>
    <w:rPr>
      <w:color w:val="605E5C"/>
      <w:shd w:val="clear" w:color="auto" w:fill="E1DFDD"/>
    </w:rPr>
  </w:style>
  <w:style w:type="table" w:customStyle="1" w:styleId="GridTable1Light-Accent12">
    <w:name w:val="Grid Table 1 Light - Accent 12"/>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563148"/>
    <w:rPr>
      <w:color w:val="605E5C"/>
      <w:shd w:val="clear" w:color="auto" w:fill="E1DFDD"/>
    </w:rPr>
  </w:style>
  <w:style w:type="paragraph" w:customStyle="1" w:styleId="Norma">
    <w:name w:val="Norma"/>
    <w:basedOn w:val="E3Level"/>
    <w:rsid w:val="00563148"/>
    <w:pPr>
      <w:numPr>
        <w:numId w:val="13"/>
      </w:numPr>
    </w:pPr>
  </w:style>
  <w:style w:type="character" w:customStyle="1" w:styleId="s39">
    <w:name w:val="s39"/>
    <w:basedOn w:val="DefaultParagraphFont"/>
    <w:rsid w:val="00563148"/>
  </w:style>
  <w:style w:type="character" w:customStyle="1" w:styleId="UnresolvedMention4">
    <w:name w:val="Unresolved Mention4"/>
    <w:basedOn w:val="DefaultParagraphFont"/>
    <w:uiPriority w:val="99"/>
    <w:semiHidden/>
    <w:unhideWhenUsed/>
    <w:rsid w:val="00563148"/>
    <w:rPr>
      <w:color w:val="605E5C"/>
      <w:shd w:val="clear" w:color="auto" w:fill="E1DFDD"/>
    </w:rPr>
  </w:style>
  <w:style w:type="paragraph" w:customStyle="1" w:styleId="TableParagraph">
    <w:name w:val="Table Paragraph"/>
    <w:basedOn w:val="Normal"/>
    <w:uiPriority w:val="1"/>
    <w:qFormat/>
    <w:rsid w:val="00563148"/>
    <w:pPr>
      <w:widowControl w:val="0"/>
      <w:autoSpaceDE w:val="0"/>
      <w:autoSpaceDN w:val="0"/>
      <w:spacing w:after="0" w:line="240" w:lineRule="auto"/>
    </w:pPr>
    <w:rPr>
      <w:rFonts w:ascii="Calibri" w:eastAsia="Calibri" w:hAnsi="Calibri" w:cs="Calibri"/>
    </w:rPr>
  </w:style>
  <w:style w:type="character" w:customStyle="1" w:styleId="UnresolvedMention5">
    <w:name w:val="Unresolved Mention5"/>
    <w:basedOn w:val="DefaultParagraphFont"/>
    <w:uiPriority w:val="99"/>
    <w:unhideWhenUsed/>
    <w:rsid w:val="00563148"/>
    <w:rPr>
      <w:color w:val="605E5C"/>
      <w:shd w:val="clear" w:color="auto" w:fill="E1DFDD"/>
    </w:rPr>
  </w:style>
  <w:style w:type="character" w:customStyle="1" w:styleId="Mention1">
    <w:name w:val="Mention1"/>
    <w:basedOn w:val="DefaultParagraphFont"/>
    <w:uiPriority w:val="99"/>
    <w:unhideWhenUsed/>
    <w:rsid w:val="00563148"/>
    <w:rPr>
      <w:color w:val="2B579A"/>
      <w:shd w:val="clear" w:color="auto" w:fill="E1DFDD"/>
    </w:rPr>
  </w:style>
  <w:style w:type="character" w:customStyle="1" w:styleId="Menzionenonrisolta2">
    <w:name w:val="Menzione non risolta2"/>
    <w:basedOn w:val="DefaultParagraphFont"/>
    <w:uiPriority w:val="99"/>
    <w:semiHidden/>
    <w:unhideWhenUsed/>
    <w:rsid w:val="00563148"/>
    <w:rPr>
      <w:color w:val="605E5C"/>
      <w:shd w:val="clear" w:color="auto" w:fill="E1DFDD"/>
    </w:rPr>
  </w:style>
  <w:style w:type="paragraph" w:customStyle="1" w:styleId="AONormal">
    <w:name w:val="AONormal"/>
    <w:basedOn w:val="Normal"/>
    <w:rsid w:val="0013737A"/>
    <w:pPr>
      <w:spacing w:after="0" w:line="260" w:lineRule="atLeast"/>
    </w:pPr>
    <w:rPr>
      <w:rFonts w:ascii="Times New Roman" w:hAnsi="Times New Roman" w:cs="Times New Roman"/>
    </w:rPr>
  </w:style>
  <w:style w:type="paragraph" w:customStyle="1" w:styleId="ListBullet9">
    <w:name w:val="List Bullet 9"/>
    <w:rsid w:val="00057084"/>
    <w:pPr>
      <w:numPr>
        <w:numId w:val="15"/>
      </w:numPr>
      <w:spacing w:after="0" w:line="240" w:lineRule="auto"/>
      <w:jc w:val="both"/>
    </w:pPr>
    <w:rPr>
      <w:rFonts w:ascii="Arial" w:eastAsia="Times New Roman" w:hAnsi="Arial" w:cs="Times New Roman"/>
      <w:szCs w:val="20"/>
      <w:lang w:val="en-GB"/>
    </w:rPr>
  </w:style>
  <w:style w:type="paragraph" w:customStyle="1" w:styleId="Appendix">
    <w:name w:val="Appendix"/>
    <w:next w:val="Normal"/>
    <w:link w:val="AppendixChar"/>
    <w:autoRedefine/>
    <w:rsid w:val="00057084"/>
    <w:pPr>
      <w:keepNext/>
      <w:pageBreakBefore/>
      <w:numPr>
        <w:numId w:val="17"/>
      </w:numPr>
      <w:tabs>
        <w:tab w:val="left" w:pos="431"/>
      </w:tabs>
      <w:spacing w:before="240" w:after="60" w:line="240" w:lineRule="auto"/>
    </w:pPr>
    <w:rPr>
      <w:rFonts w:ascii="Arial" w:eastAsia="Times New Roman" w:hAnsi="Arial" w:cs="Arial"/>
      <w:b/>
      <w:bCs/>
      <w:kern w:val="32"/>
      <w:u w:val="single"/>
      <w:lang w:val="en-GB" w:eastAsia="nl-NL"/>
    </w:rPr>
  </w:style>
  <w:style w:type="character" w:customStyle="1" w:styleId="AppendixChar">
    <w:name w:val="Appendix Char"/>
    <w:link w:val="Appendix"/>
    <w:locked/>
    <w:rsid w:val="00057084"/>
    <w:rPr>
      <w:rFonts w:ascii="Arial" w:eastAsia="Times New Roman" w:hAnsi="Arial" w:cs="Arial"/>
      <w:b/>
      <w:bCs/>
      <w:kern w:val="32"/>
      <w:u w:val="single"/>
      <w:lang w:val="en-GB" w:eastAsia="nl-NL"/>
    </w:rPr>
  </w:style>
  <w:style w:type="paragraph" w:customStyle="1" w:styleId="Elencopuntato">
    <w:name w:val="Elenco puntato"/>
    <w:basedOn w:val="BodyText"/>
    <w:rsid w:val="00057084"/>
    <w:pPr>
      <w:widowControl w:val="0"/>
      <w:numPr>
        <w:numId w:val="16"/>
      </w:numPr>
      <w:spacing w:after="120" w:line="240" w:lineRule="auto"/>
      <w:ind w:right="851"/>
      <w:jc w:val="both"/>
    </w:pPr>
    <w:rPr>
      <w:iCs/>
      <w:noProof/>
      <w:szCs w:val="24"/>
      <w:lang w:val="it-IT" w:eastAsia="en-US"/>
    </w:rPr>
  </w:style>
  <w:style w:type="paragraph" w:customStyle="1" w:styleId="Standard1">
    <w:name w:val="Standard1"/>
    <w:basedOn w:val="Normal"/>
    <w:next w:val="Normal"/>
    <w:rsid w:val="00057084"/>
    <w:pPr>
      <w:autoSpaceDE w:val="0"/>
      <w:autoSpaceDN w:val="0"/>
      <w:adjustRightInd w:val="0"/>
      <w:spacing w:after="0" w:line="240" w:lineRule="auto"/>
    </w:pPr>
    <w:rPr>
      <w:rFonts w:ascii="Arial" w:eastAsia="Times New Roman" w:hAnsi="Arial" w:cs="Arial"/>
      <w:sz w:val="24"/>
      <w:szCs w:val="24"/>
      <w:lang w:val="de-DE"/>
    </w:rPr>
  </w:style>
  <w:style w:type="character" w:customStyle="1" w:styleId="apple-converted-space">
    <w:name w:val="apple-converted-space"/>
    <w:rsid w:val="00057084"/>
  </w:style>
  <w:style w:type="character" w:styleId="Strong">
    <w:name w:val="Strong"/>
    <w:basedOn w:val="DefaultParagraphFont"/>
    <w:uiPriority w:val="22"/>
    <w:qFormat/>
    <w:rsid w:val="00057084"/>
    <w:rPr>
      <w:b/>
      <w:bCs/>
    </w:rPr>
  </w:style>
  <w:style w:type="paragraph" w:styleId="BodyTextIndent2">
    <w:name w:val="Body Text Indent 2"/>
    <w:basedOn w:val="Normal"/>
    <w:link w:val="BodyTextIndent2Char"/>
    <w:uiPriority w:val="99"/>
    <w:semiHidden/>
    <w:unhideWhenUsed/>
    <w:rsid w:val="00057084"/>
    <w:pPr>
      <w:spacing w:after="120" w:line="480" w:lineRule="auto"/>
      <w:ind w:left="283"/>
    </w:pPr>
  </w:style>
  <w:style w:type="character" w:customStyle="1" w:styleId="BodyTextIndent2Char">
    <w:name w:val="Body Text Indent 2 Char"/>
    <w:basedOn w:val="DefaultParagraphFont"/>
    <w:link w:val="BodyTextIndent2"/>
    <w:uiPriority w:val="99"/>
    <w:semiHidden/>
    <w:rsid w:val="00057084"/>
  </w:style>
  <w:style w:type="paragraph" w:customStyle="1" w:styleId="Default">
    <w:name w:val="Default"/>
    <w:rsid w:val="000570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rsid w:val="00057084"/>
    <w:pPr>
      <w:spacing w:after="0" w:line="240" w:lineRule="auto"/>
      <w:jc w:val="both"/>
    </w:pPr>
    <w:rPr>
      <w:rFonts w:ascii="Times New Roman" w:eastAsia="Times New Roman" w:hAnsi="Times New Roman" w:cs="Times New Roman"/>
      <w:noProof/>
      <w:color w:val="000000"/>
      <w:sz w:val="20"/>
      <w:szCs w:val="20"/>
      <w:lang w:val="en-GB"/>
    </w:rPr>
  </w:style>
  <w:style w:type="character" w:customStyle="1" w:styleId="tableChar">
    <w:name w:val="table Char"/>
    <w:link w:val="table"/>
    <w:rsid w:val="00057084"/>
    <w:rPr>
      <w:rFonts w:ascii="Times New Roman" w:eastAsia="Times New Roman" w:hAnsi="Times New Roman" w:cs="Times New Roman"/>
      <w:noProof/>
      <w:color w:val="000000"/>
      <w:sz w:val="20"/>
      <w:szCs w:val="20"/>
      <w:lang w:val="en-GB"/>
    </w:rPr>
  </w:style>
  <w:style w:type="numbering" w:customStyle="1" w:styleId="Style3">
    <w:name w:val="Style3"/>
    <w:uiPriority w:val="99"/>
    <w:rsid w:val="002C4B69"/>
    <w:pPr>
      <w:numPr>
        <w:numId w:val="21"/>
      </w:numPr>
    </w:pPr>
  </w:style>
  <w:style w:type="numbering" w:customStyle="1" w:styleId="Style4">
    <w:name w:val="Style4"/>
    <w:uiPriority w:val="99"/>
    <w:rsid w:val="00964917"/>
    <w:pPr>
      <w:numPr>
        <w:numId w:val="23"/>
      </w:numPr>
    </w:pPr>
  </w:style>
  <w:style w:type="numbering" w:customStyle="1" w:styleId="Style5">
    <w:name w:val="Style5"/>
    <w:uiPriority w:val="99"/>
    <w:rsid w:val="00473712"/>
    <w:pPr>
      <w:numPr>
        <w:numId w:val="25"/>
      </w:numPr>
    </w:pPr>
  </w:style>
  <w:style w:type="numbering" w:customStyle="1" w:styleId="Style6">
    <w:name w:val="Style6"/>
    <w:uiPriority w:val="99"/>
    <w:rsid w:val="008E6F5F"/>
    <w:pPr>
      <w:numPr>
        <w:numId w:val="26"/>
      </w:numPr>
    </w:pPr>
  </w:style>
  <w:style w:type="numbering" w:customStyle="1" w:styleId="Style7">
    <w:name w:val="Style7"/>
    <w:uiPriority w:val="99"/>
    <w:rsid w:val="005A727B"/>
    <w:pPr>
      <w:numPr>
        <w:numId w:val="29"/>
      </w:numPr>
    </w:pPr>
  </w:style>
  <w:style w:type="numbering" w:customStyle="1" w:styleId="Style8">
    <w:name w:val="Style8"/>
    <w:uiPriority w:val="99"/>
    <w:rsid w:val="004E63D7"/>
    <w:pPr>
      <w:numPr>
        <w:numId w:val="31"/>
      </w:numPr>
    </w:pPr>
  </w:style>
  <w:style w:type="character" w:customStyle="1" w:styleId="fontstyle01">
    <w:name w:val="fontstyle01"/>
    <w:basedOn w:val="DefaultParagraphFont"/>
    <w:rsid w:val="00E84FAF"/>
    <w:rPr>
      <w:rFonts w:ascii="Calibri Light" w:hAnsi="Calibri Light" w:cs="Calibri Light" w:hint="default"/>
      <w:b w:val="0"/>
      <w:bCs w:val="0"/>
      <w:i w:val="0"/>
      <w:iCs w:val="0"/>
      <w:color w:val="000000"/>
      <w:sz w:val="36"/>
      <w:szCs w:val="36"/>
    </w:rPr>
  </w:style>
  <w:style w:type="character" w:customStyle="1" w:styleId="UnresolvedMention6">
    <w:name w:val="Unresolved Mention6"/>
    <w:basedOn w:val="DefaultParagraphFont"/>
    <w:uiPriority w:val="99"/>
    <w:semiHidden/>
    <w:unhideWhenUsed/>
    <w:rsid w:val="009E00B3"/>
    <w:rPr>
      <w:color w:val="605E5C"/>
      <w:shd w:val="clear" w:color="auto" w:fill="E1DFDD"/>
    </w:rPr>
  </w:style>
  <w:style w:type="character" w:styleId="UnresolvedMention">
    <w:name w:val="Unresolved Mention"/>
    <w:basedOn w:val="DefaultParagraphFont"/>
    <w:uiPriority w:val="99"/>
    <w:semiHidden/>
    <w:unhideWhenUsed/>
    <w:rsid w:val="00267624"/>
    <w:rPr>
      <w:color w:val="605E5C"/>
      <w:shd w:val="clear" w:color="auto" w:fill="E1DFDD"/>
    </w:rPr>
  </w:style>
  <w:style w:type="character" w:customStyle="1" w:styleId="normaltextrun">
    <w:name w:val="normaltextrun"/>
    <w:basedOn w:val="DefaultParagraphFont"/>
    <w:rsid w:val="00BE4C47"/>
  </w:style>
  <w:style w:type="character" w:customStyle="1" w:styleId="superscript">
    <w:name w:val="superscript"/>
    <w:basedOn w:val="DefaultParagraphFont"/>
    <w:rsid w:val="00BE4C47"/>
  </w:style>
  <w:style w:type="paragraph" w:customStyle="1" w:styleId="paragraph">
    <w:name w:val="paragraph"/>
    <w:basedOn w:val="Normal"/>
    <w:rsid w:val="00286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868A5"/>
  </w:style>
  <w:style w:type="character" w:customStyle="1" w:styleId="ui-provider">
    <w:name w:val="ui-provider"/>
    <w:basedOn w:val="DefaultParagraphFont"/>
    <w:rsid w:val="00B60E83"/>
  </w:style>
  <w:style w:type="character" w:customStyle="1" w:styleId="cf01">
    <w:name w:val="cf01"/>
    <w:basedOn w:val="DefaultParagraphFont"/>
    <w:rsid w:val="009062B2"/>
    <w:rPr>
      <w:rFonts w:ascii="Segoe UI" w:hAnsi="Segoe UI" w:cs="Segoe UI" w:hint="default"/>
      <w:i/>
      <w:iCs/>
      <w:sz w:val="18"/>
      <w:szCs w:val="18"/>
    </w:rPr>
  </w:style>
  <w:style w:type="character" w:customStyle="1" w:styleId="cf11">
    <w:name w:val="cf11"/>
    <w:basedOn w:val="DefaultParagraphFont"/>
    <w:rsid w:val="009062B2"/>
    <w:rPr>
      <w:rFonts w:ascii="Segoe UI" w:hAnsi="Segoe UI" w:cs="Segoe UI" w:hint="default"/>
      <w:i/>
      <w:iCs/>
      <w:sz w:val="18"/>
      <w:szCs w:val="18"/>
    </w:rPr>
  </w:style>
  <w:style w:type="character" w:customStyle="1" w:styleId="cf21">
    <w:name w:val="cf21"/>
    <w:basedOn w:val="DefaultParagraphFont"/>
    <w:rsid w:val="00302409"/>
    <w:rPr>
      <w:rFonts w:ascii="Segoe UI" w:hAnsi="Segoe UI" w:cs="Segoe UI" w:hint="default"/>
      <w:i/>
      <w:iCs/>
      <w:sz w:val="18"/>
      <w:szCs w:val="18"/>
    </w:rPr>
  </w:style>
  <w:style w:type="character" w:customStyle="1" w:styleId="cf31">
    <w:name w:val="cf31"/>
    <w:basedOn w:val="DefaultParagraphFont"/>
    <w:rsid w:val="00302409"/>
    <w:rPr>
      <w:rFonts w:ascii="Segoe UI" w:hAnsi="Segoe UI" w:cs="Segoe UI" w:hint="default"/>
      <w:i/>
      <w:iCs/>
      <w:sz w:val="18"/>
      <w:szCs w:val="18"/>
    </w:rPr>
  </w:style>
  <w:style w:type="table" w:customStyle="1" w:styleId="TableGrid1">
    <w:name w:val="Table Grid1"/>
    <w:basedOn w:val="TableNormal"/>
    <w:next w:val="TableGrid"/>
    <w:uiPriority w:val="39"/>
    <w:rsid w:val="004C5D46"/>
    <w:pPr>
      <w:spacing w:after="0" w:line="240" w:lineRule="auto"/>
    </w:pPr>
    <w:rPr>
      <w:rFonts w:eastAsia="Yu Mincho"/>
      <w:kern w:val="2"/>
      <w:lang w:val="el-GR" w:eastAsia="el-G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5D46"/>
    <w:pPr>
      <w:spacing w:after="0" w:line="240" w:lineRule="auto"/>
    </w:pPr>
    <w:rPr>
      <w:rFonts w:eastAsia="Yu Mincho"/>
      <w:kern w:val="2"/>
      <w:lang w:val="el-GR" w:eastAsia="el-G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687020">
      <w:bodyDiv w:val="1"/>
      <w:marLeft w:val="0"/>
      <w:marRight w:val="0"/>
      <w:marTop w:val="0"/>
      <w:marBottom w:val="0"/>
      <w:divBdr>
        <w:top w:val="none" w:sz="0" w:space="0" w:color="auto"/>
        <w:left w:val="none" w:sz="0" w:space="0" w:color="auto"/>
        <w:bottom w:val="none" w:sz="0" w:space="0" w:color="auto"/>
        <w:right w:val="none" w:sz="0" w:space="0" w:color="auto"/>
      </w:divBdr>
      <w:divsChild>
        <w:div w:id="1604653288">
          <w:marLeft w:val="0"/>
          <w:marRight w:val="0"/>
          <w:marTop w:val="0"/>
          <w:marBottom w:val="0"/>
          <w:divBdr>
            <w:top w:val="none" w:sz="0" w:space="0" w:color="auto"/>
            <w:left w:val="none" w:sz="0" w:space="0" w:color="auto"/>
            <w:bottom w:val="none" w:sz="0" w:space="0" w:color="auto"/>
            <w:right w:val="none" w:sz="0" w:space="0" w:color="auto"/>
          </w:divBdr>
        </w:div>
      </w:divsChild>
    </w:div>
    <w:div w:id="566189222">
      <w:bodyDiv w:val="1"/>
      <w:marLeft w:val="0"/>
      <w:marRight w:val="0"/>
      <w:marTop w:val="0"/>
      <w:marBottom w:val="0"/>
      <w:divBdr>
        <w:top w:val="none" w:sz="0" w:space="0" w:color="auto"/>
        <w:left w:val="none" w:sz="0" w:space="0" w:color="auto"/>
        <w:bottom w:val="none" w:sz="0" w:space="0" w:color="auto"/>
        <w:right w:val="none" w:sz="0" w:space="0" w:color="auto"/>
      </w:divBdr>
    </w:div>
    <w:div w:id="713389923">
      <w:bodyDiv w:val="1"/>
      <w:marLeft w:val="0"/>
      <w:marRight w:val="0"/>
      <w:marTop w:val="0"/>
      <w:marBottom w:val="0"/>
      <w:divBdr>
        <w:top w:val="none" w:sz="0" w:space="0" w:color="auto"/>
        <w:left w:val="none" w:sz="0" w:space="0" w:color="auto"/>
        <w:bottom w:val="none" w:sz="0" w:space="0" w:color="auto"/>
        <w:right w:val="none" w:sz="0" w:space="0" w:color="auto"/>
      </w:divBdr>
      <w:divsChild>
        <w:div w:id="191117390">
          <w:marLeft w:val="0"/>
          <w:marRight w:val="0"/>
          <w:marTop w:val="0"/>
          <w:marBottom w:val="0"/>
          <w:divBdr>
            <w:top w:val="none" w:sz="0" w:space="0" w:color="auto"/>
            <w:left w:val="none" w:sz="0" w:space="0" w:color="auto"/>
            <w:bottom w:val="none" w:sz="0" w:space="0" w:color="auto"/>
            <w:right w:val="none" w:sz="0" w:space="0" w:color="auto"/>
          </w:divBdr>
        </w:div>
        <w:div w:id="555552559">
          <w:marLeft w:val="0"/>
          <w:marRight w:val="0"/>
          <w:marTop w:val="0"/>
          <w:marBottom w:val="0"/>
          <w:divBdr>
            <w:top w:val="none" w:sz="0" w:space="0" w:color="auto"/>
            <w:left w:val="none" w:sz="0" w:space="0" w:color="auto"/>
            <w:bottom w:val="none" w:sz="0" w:space="0" w:color="auto"/>
            <w:right w:val="none" w:sz="0" w:space="0" w:color="auto"/>
          </w:divBdr>
        </w:div>
      </w:divsChild>
    </w:div>
    <w:div w:id="774641909">
      <w:bodyDiv w:val="1"/>
      <w:marLeft w:val="0"/>
      <w:marRight w:val="0"/>
      <w:marTop w:val="0"/>
      <w:marBottom w:val="0"/>
      <w:divBdr>
        <w:top w:val="none" w:sz="0" w:space="0" w:color="auto"/>
        <w:left w:val="none" w:sz="0" w:space="0" w:color="auto"/>
        <w:bottom w:val="none" w:sz="0" w:space="0" w:color="auto"/>
        <w:right w:val="none" w:sz="0" w:space="0" w:color="auto"/>
      </w:divBdr>
    </w:div>
    <w:div w:id="845288534">
      <w:bodyDiv w:val="1"/>
      <w:marLeft w:val="0"/>
      <w:marRight w:val="0"/>
      <w:marTop w:val="0"/>
      <w:marBottom w:val="0"/>
      <w:divBdr>
        <w:top w:val="none" w:sz="0" w:space="0" w:color="auto"/>
        <w:left w:val="none" w:sz="0" w:space="0" w:color="auto"/>
        <w:bottom w:val="none" w:sz="0" w:space="0" w:color="auto"/>
        <w:right w:val="none" w:sz="0" w:space="0" w:color="auto"/>
      </w:divBdr>
      <w:divsChild>
        <w:div w:id="1181238820">
          <w:marLeft w:val="0"/>
          <w:marRight w:val="0"/>
          <w:marTop w:val="0"/>
          <w:marBottom w:val="0"/>
          <w:divBdr>
            <w:top w:val="none" w:sz="0" w:space="0" w:color="auto"/>
            <w:left w:val="none" w:sz="0" w:space="0" w:color="auto"/>
            <w:bottom w:val="none" w:sz="0" w:space="0" w:color="auto"/>
            <w:right w:val="none" w:sz="0" w:space="0" w:color="auto"/>
          </w:divBdr>
        </w:div>
        <w:div w:id="1881552054">
          <w:marLeft w:val="0"/>
          <w:marRight w:val="0"/>
          <w:marTop w:val="0"/>
          <w:marBottom w:val="0"/>
          <w:divBdr>
            <w:top w:val="none" w:sz="0" w:space="0" w:color="auto"/>
            <w:left w:val="none" w:sz="0" w:space="0" w:color="auto"/>
            <w:bottom w:val="none" w:sz="0" w:space="0" w:color="auto"/>
            <w:right w:val="none" w:sz="0" w:space="0" w:color="auto"/>
          </w:divBdr>
        </w:div>
      </w:divsChild>
    </w:div>
    <w:div w:id="954169674">
      <w:bodyDiv w:val="1"/>
      <w:marLeft w:val="0"/>
      <w:marRight w:val="0"/>
      <w:marTop w:val="0"/>
      <w:marBottom w:val="0"/>
      <w:divBdr>
        <w:top w:val="none" w:sz="0" w:space="0" w:color="auto"/>
        <w:left w:val="none" w:sz="0" w:space="0" w:color="auto"/>
        <w:bottom w:val="none" w:sz="0" w:space="0" w:color="auto"/>
        <w:right w:val="none" w:sz="0" w:space="0" w:color="auto"/>
      </w:divBdr>
      <w:divsChild>
        <w:div w:id="445395352">
          <w:marLeft w:val="0"/>
          <w:marRight w:val="0"/>
          <w:marTop w:val="0"/>
          <w:marBottom w:val="0"/>
          <w:divBdr>
            <w:top w:val="none" w:sz="0" w:space="0" w:color="auto"/>
            <w:left w:val="none" w:sz="0" w:space="0" w:color="auto"/>
            <w:bottom w:val="none" w:sz="0" w:space="0" w:color="auto"/>
            <w:right w:val="none" w:sz="0" w:space="0" w:color="auto"/>
          </w:divBdr>
        </w:div>
        <w:div w:id="873613571">
          <w:marLeft w:val="0"/>
          <w:marRight w:val="0"/>
          <w:marTop w:val="0"/>
          <w:marBottom w:val="0"/>
          <w:divBdr>
            <w:top w:val="none" w:sz="0" w:space="0" w:color="auto"/>
            <w:left w:val="none" w:sz="0" w:space="0" w:color="auto"/>
            <w:bottom w:val="none" w:sz="0" w:space="0" w:color="auto"/>
            <w:right w:val="none" w:sz="0" w:space="0" w:color="auto"/>
          </w:divBdr>
        </w:div>
      </w:divsChild>
    </w:div>
    <w:div w:id="1060250998">
      <w:bodyDiv w:val="1"/>
      <w:marLeft w:val="0"/>
      <w:marRight w:val="0"/>
      <w:marTop w:val="0"/>
      <w:marBottom w:val="0"/>
      <w:divBdr>
        <w:top w:val="none" w:sz="0" w:space="0" w:color="auto"/>
        <w:left w:val="none" w:sz="0" w:space="0" w:color="auto"/>
        <w:bottom w:val="none" w:sz="0" w:space="0" w:color="auto"/>
        <w:right w:val="none" w:sz="0" w:space="0" w:color="auto"/>
      </w:divBdr>
      <w:divsChild>
        <w:div w:id="104350262">
          <w:marLeft w:val="0"/>
          <w:marRight w:val="0"/>
          <w:marTop w:val="0"/>
          <w:marBottom w:val="0"/>
          <w:divBdr>
            <w:top w:val="none" w:sz="0" w:space="0" w:color="auto"/>
            <w:left w:val="none" w:sz="0" w:space="0" w:color="auto"/>
            <w:bottom w:val="none" w:sz="0" w:space="0" w:color="auto"/>
            <w:right w:val="none" w:sz="0" w:space="0" w:color="auto"/>
          </w:divBdr>
        </w:div>
        <w:div w:id="1273246604">
          <w:marLeft w:val="0"/>
          <w:marRight w:val="0"/>
          <w:marTop w:val="0"/>
          <w:marBottom w:val="0"/>
          <w:divBdr>
            <w:top w:val="none" w:sz="0" w:space="0" w:color="auto"/>
            <w:left w:val="none" w:sz="0" w:space="0" w:color="auto"/>
            <w:bottom w:val="none" w:sz="0" w:space="0" w:color="auto"/>
            <w:right w:val="none" w:sz="0" w:space="0" w:color="auto"/>
          </w:divBdr>
        </w:div>
        <w:div w:id="1722485432">
          <w:marLeft w:val="0"/>
          <w:marRight w:val="0"/>
          <w:marTop w:val="0"/>
          <w:marBottom w:val="0"/>
          <w:divBdr>
            <w:top w:val="none" w:sz="0" w:space="0" w:color="auto"/>
            <w:left w:val="none" w:sz="0" w:space="0" w:color="auto"/>
            <w:bottom w:val="none" w:sz="0" w:space="0" w:color="auto"/>
            <w:right w:val="none" w:sz="0" w:space="0" w:color="auto"/>
          </w:divBdr>
        </w:div>
      </w:divsChild>
    </w:div>
    <w:div w:id="1118178277">
      <w:bodyDiv w:val="1"/>
      <w:marLeft w:val="0"/>
      <w:marRight w:val="0"/>
      <w:marTop w:val="0"/>
      <w:marBottom w:val="0"/>
      <w:divBdr>
        <w:top w:val="none" w:sz="0" w:space="0" w:color="auto"/>
        <w:left w:val="none" w:sz="0" w:space="0" w:color="auto"/>
        <w:bottom w:val="none" w:sz="0" w:space="0" w:color="auto"/>
        <w:right w:val="none" w:sz="0" w:space="0" w:color="auto"/>
      </w:divBdr>
    </w:div>
    <w:div w:id="17502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test@desfa.gr" TargetMode="External"/><Relationship Id="rId18" Type="http://schemas.openxmlformats.org/officeDocument/2006/relationships/hyperlink" Target="mailto:market-test@DESFA.GR"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20" TargetMode="External"/><Relationship Id="rId17" Type="http://schemas.openxmlformats.org/officeDocument/2006/relationships/hyperlink" Target="http://www.desfa.g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arket-test@DESFA.G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market-test@desfa.g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esfa.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test@desfa.g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esfa.gr/en/regulatory-framework/compliance/code-of-conduct" TargetMode="External"/><Relationship Id="rId2" Type="http://schemas.openxmlformats.org/officeDocument/2006/relationships/hyperlink" Target="https://www.icgb.eu/" TargetMode="External"/><Relationship Id="rId1" Type="http://schemas.openxmlformats.org/officeDocument/2006/relationships/hyperlink" Target="https://www.bulgartransgaz.bg/en/pages/2023-236.html" TargetMode="External"/><Relationship Id="rId5" Type="http://schemas.openxmlformats.org/officeDocument/2006/relationships/hyperlink" Target="https://www.desfa.gr/regulatory-framework/compliance/prostasia-prosopikwn-dedomenwn" TargetMode="External"/><Relationship Id="rId4" Type="http://schemas.openxmlformats.org/officeDocument/2006/relationships/hyperlink" Target="https://www.desfa.gr/regulatory-framework/compliance/prostasia-prosopikwn-dedomenw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7FE1E7E2752EB84CA76CFA4804087646" ma:contentTypeVersion="16" ma:contentTypeDescription="Δημιουργία νέου εγγράφου" ma:contentTypeScope="" ma:versionID="96598a2bd8c36d013810fc861d2dd962">
  <xsd:schema xmlns:xsd="http://www.w3.org/2001/XMLSchema" xmlns:xs="http://www.w3.org/2001/XMLSchema" xmlns:p="http://schemas.microsoft.com/office/2006/metadata/properties" xmlns:ns2="7983becf-a8f5-49e1-ad7a-fb09a7b1eef7" xmlns:ns3="fdec84d9-c500-4086-bdce-98e29a55cc25" targetNamespace="http://schemas.microsoft.com/office/2006/metadata/properties" ma:root="true" ma:fieldsID="005ba1e9897daa74a70275662041c9c9" ns2:_="" ns3:_="">
    <xsd:import namespace="7983becf-a8f5-49e1-ad7a-fb09a7b1eef7"/>
    <xsd:import namespace="fdec84d9-c500-4086-bdce-98e29a55c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becf-a8f5-49e1-ad7a-fb09a7b1e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d860d907-c4de-4a85-89b3-ebe5bb26c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c84d9-c500-4086-bdce-98e29a55cc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c340fe-99e6-4d5f-bfe8-41fa8a7e4629}" ma:internalName="TaxCatchAll" ma:showField="CatchAllData" ma:web="fdec84d9-c500-4086-bdce-98e29a55cc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83becf-a8f5-49e1-ad7a-fb09a7b1eef7">
      <Terms xmlns="http://schemas.microsoft.com/office/infopath/2007/PartnerControls"/>
    </lcf76f155ced4ddcb4097134ff3c332f>
    <TaxCatchAll xmlns="fdec84d9-c500-4086-bdce-98e29a55cc25" xsi:nil="true"/>
  </documentManagement>
</p:properties>
</file>

<file path=customXml/itemProps1.xml><?xml version="1.0" encoding="utf-8"?>
<ds:datastoreItem xmlns:ds="http://schemas.openxmlformats.org/officeDocument/2006/customXml" ds:itemID="{82379916-96E4-4FEF-89D1-2628F4418A65}">
  <ds:schemaRefs>
    <ds:schemaRef ds:uri="http://schemas.microsoft.com/sharepoint/v3/contenttype/forms"/>
  </ds:schemaRefs>
</ds:datastoreItem>
</file>

<file path=customXml/itemProps2.xml><?xml version="1.0" encoding="utf-8"?>
<ds:datastoreItem xmlns:ds="http://schemas.openxmlformats.org/officeDocument/2006/customXml" ds:itemID="{0164C9FC-F454-4660-8FF6-F850F6922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3becf-a8f5-49e1-ad7a-fb09a7b1eef7"/>
    <ds:schemaRef ds:uri="fdec84d9-c500-4086-bdce-98e29a55c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28B2E-5257-4948-AC7E-C11AA4F3D522}">
  <ds:schemaRefs>
    <ds:schemaRef ds:uri="http://schemas.openxmlformats.org/officeDocument/2006/bibliography"/>
  </ds:schemaRefs>
</ds:datastoreItem>
</file>

<file path=customXml/itemProps4.xml><?xml version="1.0" encoding="utf-8"?>
<ds:datastoreItem xmlns:ds="http://schemas.openxmlformats.org/officeDocument/2006/customXml" ds:itemID="{54483F1E-C490-4563-A68F-2C273717C751}">
  <ds:schemaRefs>
    <ds:schemaRef ds:uri="http://schemas.microsoft.com/office/2006/metadata/properties"/>
    <ds:schemaRef ds:uri="http://schemas.microsoft.com/office/infopath/2007/PartnerControls"/>
    <ds:schemaRef ds:uri="7983becf-a8f5-49e1-ad7a-fb09a7b1eef7"/>
    <ds:schemaRef ds:uri="fdec84d9-c500-4086-bdce-98e29a55cc2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18485</Words>
  <Characters>105365</Characters>
  <Application>Microsoft Office Word</Application>
  <DocSecurity>0</DocSecurity>
  <Lines>878</Lines>
  <Paragraphs>247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123603</CharactersWithSpaces>
  <SharedDoc>false</SharedDoc>
  <HLinks>
    <vt:vector size="204" baseType="variant">
      <vt:variant>
        <vt:i4>1376271</vt:i4>
      </vt:variant>
      <vt:variant>
        <vt:i4>183</vt:i4>
      </vt:variant>
      <vt:variant>
        <vt:i4>0</vt:i4>
      </vt:variant>
      <vt:variant>
        <vt:i4>5</vt:i4>
      </vt:variant>
      <vt:variant>
        <vt:lpwstr>http://www.desfa.gr/</vt:lpwstr>
      </vt:variant>
      <vt:variant>
        <vt:lpwstr/>
      </vt:variant>
      <vt:variant>
        <vt:i4>3473502</vt:i4>
      </vt:variant>
      <vt:variant>
        <vt:i4>180</vt:i4>
      </vt:variant>
      <vt:variant>
        <vt:i4>0</vt:i4>
      </vt:variant>
      <vt:variant>
        <vt:i4>5</vt:i4>
      </vt:variant>
      <vt:variant>
        <vt:lpwstr>mailto:market-test@DESFA.GR</vt:lpwstr>
      </vt:variant>
      <vt:variant>
        <vt:lpwstr/>
      </vt:variant>
      <vt:variant>
        <vt:i4>1376271</vt:i4>
      </vt:variant>
      <vt:variant>
        <vt:i4>177</vt:i4>
      </vt:variant>
      <vt:variant>
        <vt:i4>0</vt:i4>
      </vt:variant>
      <vt:variant>
        <vt:i4>5</vt:i4>
      </vt:variant>
      <vt:variant>
        <vt:lpwstr>http://www.desfa.gr/</vt:lpwstr>
      </vt:variant>
      <vt:variant>
        <vt:lpwstr/>
      </vt:variant>
      <vt:variant>
        <vt:i4>3473502</vt:i4>
      </vt:variant>
      <vt:variant>
        <vt:i4>174</vt:i4>
      </vt:variant>
      <vt:variant>
        <vt:i4>0</vt:i4>
      </vt:variant>
      <vt:variant>
        <vt:i4>5</vt:i4>
      </vt:variant>
      <vt:variant>
        <vt:lpwstr>mailto:market-test@DESFA.GR</vt:lpwstr>
      </vt:variant>
      <vt:variant>
        <vt:lpwstr/>
      </vt:variant>
      <vt:variant>
        <vt:i4>3473502</vt:i4>
      </vt:variant>
      <vt:variant>
        <vt:i4>171</vt:i4>
      </vt:variant>
      <vt:variant>
        <vt:i4>0</vt:i4>
      </vt:variant>
      <vt:variant>
        <vt:i4>5</vt:i4>
      </vt:variant>
      <vt:variant>
        <vt:lpwstr>mailto:market-test@desfa.gr</vt:lpwstr>
      </vt:variant>
      <vt:variant>
        <vt:lpwstr/>
      </vt:variant>
      <vt:variant>
        <vt:i4>3473502</vt:i4>
      </vt:variant>
      <vt:variant>
        <vt:i4>168</vt:i4>
      </vt:variant>
      <vt:variant>
        <vt:i4>0</vt:i4>
      </vt:variant>
      <vt:variant>
        <vt:i4>5</vt:i4>
      </vt:variant>
      <vt:variant>
        <vt:lpwstr>mailto:market-test@desfa.gr</vt:lpwstr>
      </vt:variant>
      <vt:variant>
        <vt:lpwstr/>
      </vt:variant>
      <vt:variant>
        <vt:i4>1310781</vt:i4>
      </vt:variant>
      <vt:variant>
        <vt:i4>125</vt:i4>
      </vt:variant>
      <vt:variant>
        <vt:i4>0</vt:i4>
      </vt:variant>
      <vt:variant>
        <vt:i4>5</vt:i4>
      </vt:variant>
      <vt:variant>
        <vt:lpwstr/>
      </vt:variant>
      <vt:variant>
        <vt:lpwstr>_Toc163480715</vt:lpwstr>
      </vt:variant>
      <vt:variant>
        <vt:i4>1310781</vt:i4>
      </vt:variant>
      <vt:variant>
        <vt:i4>119</vt:i4>
      </vt:variant>
      <vt:variant>
        <vt:i4>0</vt:i4>
      </vt:variant>
      <vt:variant>
        <vt:i4>5</vt:i4>
      </vt:variant>
      <vt:variant>
        <vt:lpwstr/>
      </vt:variant>
      <vt:variant>
        <vt:lpwstr>_Toc163480714</vt:lpwstr>
      </vt:variant>
      <vt:variant>
        <vt:i4>1310781</vt:i4>
      </vt:variant>
      <vt:variant>
        <vt:i4>113</vt:i4>
      </vt:variant>
      <vt:variant>
        <vt:i4>0</vt:i4>
      </vt:variant>
      <vt:variant>
        <vt:i4>5</vt:i4>
      </vt:variant>
      <vt:variant>
        <vt:lpwstr/>
      </vt:variant>
      <vt:variant>
        <vt:lpwstr>_Toc163480713</vt:lpwstr>
      </vt:variant>
      <vt:variant>
        <vt:i4>1310781</vt:i4>
      </vt:variant>
      <vt:variant>
        <vt:i4>107</vt:i4>
      </vt:variant>
      <vt:variant>
        <vt:i4>0</vt:i4>
      </vt:variant>
      <vt:variant>
        <vt:i4>5</vt:i4>
      </vt:variant>
      <vt:variant>
        <vt:lpwstr/>
      </vt:variant>
      <vt:variant>
        <vt:lpwstr>_Toc163480712</vt:lpwstr>
      </vt:variant>
      <vt:variant>
        <vt:i4>1310781</vt:i4>
      </vt:variant>
      <vt:variant>
        <vt:i4>101</vt:i4>
      </vt:variant>
      <vt:variant>
        <vt:i4>0</vt:i4>
      </vt:variant>
      <vt:variant>
        <vt:i4>5</vt:i4>
      </vt:variant>
      <vt:variant>
        <vt:lpwstr/>
      </vt:variant>
      <vt:variant>
        <vt:lpwstr>_Toc163480711</vt:lpwstr>
      </vt:variant>
      <vt:variant>
        <vt:i4>1310781</vt:i4>
      </vt:variant>
      <vt:variant>
        <vt:i4>95</vt:i4>
      </vt:variant>
      <vt:variant>
        <vt:i4>0</vt:i4>
      </vt:variant>
      <vt:variant>
        <vt:i4>5</vt:i4>
      </vt:variant>
      <vt:variant>
        <vt:lpwstr/>
      </vt:variant>
      <vt:variant>
        <vt:lpwstr>_Toc163480710</vt:lpwstr>
      </vt:variant>
      <vt:variant>
        <vt:i4>1376317</vt:i4>
      </vt:variant>
      <vt:variant>
        <vt:i4>89</vt:i4>
      </vt:variant>
      <vt:variant>
        <vt:i4>0</vt:i4>
      </vt:variant>
      <vt:variant>
        <vt:i4>5</vt:i4>
      </vt:variant>
      <vt:variant>
        <vt:lpwstr/>
      </vt:variant>
      <vt:variant>
        <vt:lpwstr>_Toc163480709</vt:lpwstr>
      </vt:variant>
      <vt:variant>
        <vt:i4>1376317</vt:i4>
      </vt:variant>
      <vt:variant>
        <vt:i4>83</vt:i4>
      </vt:variant>
      <vt:variant>
        <vt:i4>0</vt:i4>
      </vt:variant>
      <vt:variant>
        <vt:i4>5</vt:i4>
      </vt:variant>
      <vt:variant>
        <vt:lpwstr/>
      </vt:variant>
      <vt:variant>
        <vt:lpwstr>_Toc163480708</vt:lpwstr>
      </vt:variant>
      <vt:variant>
        <vt:i4>1376317</vt:i4>
      </vt:variant>
      <vt:variant>
        <vt:i4>77</vt:i4>
      </vt:variant>
      <vt:variant>
        <vt:i4>0</vt:i4>
      </vt:variant>
      <vt:variant>
        <vt:i4>5</vt:i4>
      </vt:variant>
      <vt:variant>
        <vt:lpwstr/>
      </vt:variant>
      <vt:variant>
        <vt:lpwstr>_Toc163480707</vt:lpwstr>
      </vt:variant>
      <vt:variant>
        <vt:i4>1376317</vt:i4>
      </vt:variant>
      <vt:variant>
        <vt:i4>71</vt:i4>
      </vt:variant>
      <vt:variant>
        <vt:i4>0</vt:i4>
      </vt:variant>
      <vt:variant>
        <vt:i4>5</vt:i4>
      </vt:variant>
      <vt:variant>
        <vt:lpwstr/>
      </vt:variant>
      <vt:variant>
        <vt:lpwstr>_Toc163480706</vt:lpwstr>
      </vt:variant>
      <vt:variant>
        <vt:i4>1376317</vt:i4>
      </vt:variant>
      <vt:variant>
        <vt:i4>65</vt:i4>
      </vt:variant>
      <vt:variant>
        <vt:i4>0</vt:i4>
      </vt:variant>
      <vt:variant>
        <vt:i4>5</vt:i4>
      </vt:variant>
      <vt:variant>
        <vt:lpwstr/>
      </vt:variant>
      <vt:variant>
        <vt:lpwstr>_Toc163480705</vt:lpwstr>
      </vt:variant>
      <vt:variant>
        <vt:i4>1376317</vt:i4>
      </vt:variant>
      <vt:variant>
        <vt:i4>59</vt:i4>
      </vt:variant>
      <vt:variant>
        <vt:i4>0</vt:i4>
      </vt:variant>
      <vt:variant>
        <vt:i4>5</vt:i4>
      </vt:variant>
      <vt:variant>
        <vt:lpwstr/>
      </vt:variant>
      <vt:variant>
        <vt:lpwstr>_Toc163480704</vt:lpwstr>
      </vt:variant>
      <vt:variant>
        <vt:i4>1376317</vt:i4>
      </vt:variant>
      <vt:variant>
        <vt:i4>53</vt:i4>
      </vt:variant>
      <vt:variant>
        <vt:i4>0</vt:i4>
      </vt:variant>
      <vt:variant>
        <vt:i4>5</vt:i4>
      </vt:variant>
      <vt:variant>
        <vt:lpwstr/>
      </vt:variant>
      <vt:variant>
        <vt:lpwstr>_Toc163480703</vt:lpwstr>
      </vt:variant>
      <vt:variant>
        <vt:i4>1376317</vt:i4>
      </vt:variant>
      <vt:variant>
        <vt:i4>47</vt:i4>
      </vt:variant>
      <vt:variant>
        <vt:i4>0</vt:i4>
      </vt:variant>
      <vt:variant>
        <vt:i4>5</vt:i4>
      </vt:variant>
      <vt:variant>
        <vt:lpwstr/>
      </vt:variant>
      <vt:variant>
        <vt:lpwstr>_Toc163480702</vt:lpwstr>
      </vt:variant>
      <vt:variant>
        <vt:i4>1376317</vt:i4>
      </vt:variant>
      <vt:variant>
        <vt:i4>41</vt:i4>
      </vt:variant>
      <vt:variant>
        <vt:i4>0</vt:i4>
      </vt:variant>
      <vt:variant>
        <vt:i4>5</vt:i4>
      </vt:variant>
      <vt:variant>
        <vt:lpwstr/>
      </vt:variant>
      <vt:variant>
        <vt:lpwstr>_Toc163480701</vt:lpwstr>
      </vt:variant>
      <vt:variant>
        <vt:i4>1376317</vt:i4>
      </vt:variant>
      <vt:variant>
        <vt:i4>35</vt:i4>
      </vt:variant>
      <vt:variant>
        <vt:i4>0</vt:i4>
      </vt:variant>
      <vt:variant>
        <vt:i4>5</vt:i4>
      </vt:variant>
      <vt:variant>
        <vt:lpwstr/>
      </vt:variant>
      <vt:variant>
        <vt:lpwstr>_Toc163480700</vt:lpwstr>
      </vt:variant>
      <vt:variant>
        <vt:i4>1835068</vt:i4>
      </vt:variant>
      <vt:variant>
        <vt:i4>29</vt:i4>
      </vt:variant>
      <vt:variant>
        <vt:i4>0</vt:i4>
      </vt:variant>
      <vt:variant>
        <vt:i4>5</vt:i4>
      </vt:variant>
      <vt:variant>
        <vt:lpwstr/>
      </vt:variant>
      <vt:variant>
        <vt:lpwstr>_Toc163480699</vt:lpwstr>
      </vt:variant>
      <vt:variant>
        <vt:i4>1835068</vt:i4>
      </vt:variant>
      <vt:variant>
        <vt:i4>23</vt:i4>
      </vt:variant>
      <vt:variant>
        <vt:i4>0</vt:i4>
      </vt:variant>
      <vt:variant>
        <vt:i4>5</vt:i4>
      </vt:variant>
      <vt:variant>
        <vt:lpwstr/>
      </vt:variant>
      <vt:variant>
        <vt:lpwstr>_Toc163480698</vt:lpwstr>
      </vt:variant>
      <vt:variant>
        <vt:i4>1835068</vt:i4>
      </vt:variant>
      <vt:variant>
        <vt:i4>17</vt:i4>
      </vt:variant>
      <vt:variant>
        <vt:i4>0</vt:i4>
      </vt:variant>
      <vt:variant>
        <vt:i4>5</vt:i4>
      </vt:variant>
      <vt:variant>
        <vt:lpwstr/>
      </vt:variant>
      <vt:variant>
        <vt:lpwstr>_Toc163480697</vt:lpwstr>
      </vt:variant>
      <vt:variant>
        <vt:i4>1835068</vt:i4>
      </vt:variant>
      <vt:variant>
        <vt:i4>11</vt:i4>
      </vt:variant>
      <vt:variant>
        <vt:i4>0</vt:i4>
      </vt:variant>
      <vt:variant>
        <vt:i4>5</vt:i4>
      </vt:variant>
      <vt:variant>
        <vt:lpwstr/>
      </vt:variant>
      <vt:variant>
        <vt:lpwstr>_Toc163480696</vt:lpwstr>
      </vt:variant>
      <vt:variant>
        <vt:i4>1376271</vt:i4>
      </vt:variant>
      <vt:variant>
        <vt:i4>6</vt:i4>
      </vt:variant>
      <vt:variant>
        <vt:i4>0</vt:i4>
      </vt:variant>
      <vt:variant>
        <vt:i4>5</vt:i4>
      </vt:variant>
      <vt:variant>
        <vt:lpwstr>http://www.desfa.gr/</vt:lpwstr>
      </vt:variant>
      <vt:variant>
        <vt:lpwstr/>
      </vt:variant>
      <vt:variant>
        <vt:i4>3473502</vt:i4>
      </vt:variant>
      <vt:variant>
        <vt:i4>3</vt:i4>
      </vt:variant>
      <vt:variant>
        <vt:i4>0</vt:i4>
      </vt:variant>
      <vt:variant>
        <vt:i4>5</vt:i4>
      </vt:variant>
      <vt:variant>
        <vt:lpwstr>mailto:market-test@desfa.gr</vt:lpwstr>
      </vt:variant>
      <vt:variant>
        <vt:lpwstr/>
      </vt:variant>
      <vt:variant>
        <vt:i4>6422640</vt:i4>
      </vt:variant>
      <vt:variant>
        <vt:i4>0</vt:i4>
      </vt:variant>
      <vt:variant>
        <vt:i4>0</vt:i4>
      </vt:variant>
      <vt:variant>
        <vt:i4>5</vt:i4>
      </vt:variant>
      <vt:variant>
        <vt:lpwstr>mailto:</vt:lpwstr>
      </vt:variant>
      <vt:variant>
        <vt:lpwstr/>
      </vt:variant>
      <vt:variant>
        <vt:i4>3080291</vt:i4>
      </vt:variant>
      <vt:variant>
        <vt:i4>12</vt:i4>
      </vt:variant>
      <vt:variant>
        <vt:i4>0</vt:i4>
      </vt:variant>
      <vt:variant>
        <vt:i4>5</vt:i4>
      </vt:variant>
      <vt:variant>
        <vt:lpwstr>https://www.desfa.gr/regulatory-framework/compliance/prostasia-prosopikwn-dedomenwn</vt:lpwstr>
      </vt:variant>
      <vt:variant>
        <vt:lpwstr/>
      </vt:variant>
      <vt:variant>
        <vt:i4>3080291</vt:i4>
      </vt:variant>
      <vt:variant>
        <vt:i4>9</vt:i4>
      </vt:variant>
      <vt:variant>
        <vt:i4>0</vt:i4>
      </vt:variant>
      <vt:variant>
        <vt:i4>5</vt:i4>
      </vt:variant>
      <vt:variant>
        <vt:lpwstr>https://www.desfa.gr/regulatory-framework/compliance/prostasia-prosopikwn-dedomenwn</vt:lpwstr>
      </vt:variant>
      <vt:variant>
        <vt:lpwstr/>
      </vt:variant>
      <vt:variant>
        <vt:i4>3342398</vt:i4>
      </vt:variant>
      <vt:variant>
        <vt:i4>6</vt:i4>
      </vt:variant>
      <vt:variant>
        <vt:i4>0</vt:i4>
      </vt:variant>
      <vt:variant>
        <vt:i4>5</vt:i4>
      </vt:variant>
      <vt:variant>
        <vt:lpwstr>https://www.desfa.gr/en/regulatory-framework/compliance/code-of-conduct</vt:lpwstr>
      </vt:variant>
      <vt:variant>
        <vt:lpwstr/>
      </vt:variant>
      <vt:variant>
        <vt:i4>196629</vt:i4>
      </vt:variant>
      <vt:variant>
        <vt:i4>3</vt:i4>
      </vt:variant>
      <vt:variant>
        <vt:i4>0</vt:i4>
      </vt:variant>
      <vt:variant>
        <vt:i4>5</vt:i4>
      </vt:variant>
      <vt:variant>
        <vt:lpwstr>https://www.icgb.eu/</vt:lpwstr>
      </vt:variant>
      <vt:variant>
        <vt:lpwstr/>
      </vt:variant>
      <vt:variant>
        <vt:i4>4587522</vt:i4>
      </vt:variant>
      <vt:variant>
        <vt:i4>0</vt:i4>
      </vt:variant>
      <vt:variant>
        <vt:i4>0</vt:i4>
      </vt:variant>
      <vt:variant>
        <vt:i4>5</vt:i4>
      </vt:variant>
      <vt:variant>
        <vt:lpwstr>https://www.bulgartransgaz.bg/en/pages/2023-236.html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Doumouras</dc:creator>
  <cp:keywords/>
  <dc:description/>
  <cp:lastModifiedBy>Dimitris Skouras</cp:lastModifiedBy>
  <cp:revision>5</cp:revision>
  <cp:lastPrinted>2023-10-20T19:09:00Z</cp:lastPrinted>
  <dcterms:created xsi:type="dcterms:W3CDTF">2024-05-01T11:10:00Z</dcterms:created>
  <dcterms:modified xsi:type="dcterms:W3CDTF">2024-05-01T13:31:00Z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0x0101007FE1E7E2752EB84CA76CFA4804087646</vt:lpwstr>
  </property>
  <property fmtid="{D5CDD505-2E9C-101B-9397-08002B2CF9AE}" pid="3" name="MediaServiceImageTags">
    <vt:lpwstr/>
  </property>
</Properties>
</file>